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BD73CB" w14:textId="77777777" w:rsidR="00CA54B4" w:rsidRPr="00DD343F" w:rsidRDefault="00CA54B4" w:rsidP="00CA54B4">
      <w:pPr>
        <w:rPr>
          <w:rFonts w:ascii="Times New Roman" w:hAnsi="Times New Roman" w:cs="Times New Roman"/>
          <w:b/>
        </w:rPr>
      </w:pPr>
      <w:r w:rsidRPr="00DD343F">
        <w:rPr>
          <w:rFonts w:ascii="Times New Roman" w:hAnsi="Times New Roman" w:cs="Times New Roman"/>
          <w:b/>
        </w:rPr>
        <w:t>19. PAPER / INK</w:t>
      </w:r>
    </w:p>
    <w:p w14:paraId="4E0FF385" w14:textId="77777777" w:rsidR="00CA54B4" w:rsidRPr="00DD343F" w:rsidRDefault="00CA54B4" w:rsidP="00CA54B4">
      <w:pPr>
        <w:rPr>
          <w:rFonts w:ascii="Times New Roman" w:hAnsi="Times New Roman" w:cs="Times New Roman"/>
          <w:bCs/>
        </w:rPr>
      </w:pPr>
    </w:p>
    <w:p w14:paraId="54FE236C" w14:textId="77777777" w:rsidR="00CA54B4" w:rsidRPr="00DD343F" w:rsidRDefault="00CA54B4" w:rsidP="00CA54B4">
      <w:pPr>
        <w:rPr>
          <w:rFonts w:ascii="Times New Roman" w:hAnsi="Times New Roman" w:cs="Times New Roman"/>
          <w:bCs/>
        </w:rPr>
      </w:pPr>
      <w:r w:rsidRPr="00DD343F">
        <w:rPr>
          <w:rFonts w:ascii="Times New Roman" w:hAnsi="Times New Roman" w:cs="Times New Roman"/>
          <w:bCs/>
        </w:rPr>
        <w:t>Emma Depledge</w:t>
      </w:r>
    </w:p>
    <w:p w14:paraId="34A1D02F" w14:textId="77777777" w:rsidR="00CA54B4" w:rsidRPr="00DD343F" w:rsidRDefault="00CA54B4" w:rsidP="00CA54B4">
      <w:pPr>
        <w:spacing w:line="480" w:lineRule="auto"/>
        <w:rPr>
          <w:rFonts w:ascii="Times New Roman" w:hAnsi="Times New Roman" w:cs="Times New Roman"/>
          <w:b/>
        </w:rPr>
      </w:pPr>
    </w:p>
    <w:p w14:paraId="3EBC6EC5" w14:textId="77777777" w:rsidR="00CA54B4" w:rsidRPr="00DD343F" w:rsidRDefault="00CA54B4" w:rsidP="00CA54B4">
      <w:pPr>
        <w:spacing w:line="480" w:lineRule="auto"/>
        <w:rPr>
          <w:rFonts w:ascii="Times New Roman" w:hAnsi="Times New Roman" w:cs="Times New Roman"/>
        </w:rPr>
      </w:pPr>
    </w:p>
    <w:p w14:paraId="5DF25148" w14:textId="77777777" w:rsidR="00CA54B4" w:rsidRPr="00DD343F" w:rsidRDefault="00CA54B4" w:rsidP="00CA54B4">
      <w:pPr>
        <w:spacing w:line="480" w:lineRule="auto"/>
        <w:rPr>
          <w:rFonts w:ascii="Times New Roman" w:hAnsi="Times New Roman" w:cs="Times New Roman"/>
        </w:rPr>
      </w:pPr>
      <w:r w:rsidRPr="00DD343F">
        <w:rPr>
          <w:rFonts w:ascii="Times New Roman" w:hAnsi="Times New Roman" w:cs="Times New Roman"/>
        </w:rPr>
        <w:t>This chapter begins with textual analysis and ends with analytical bibliography to explore what paper and ink—the primary materials used to produce Shakespeare’s poems and plays in both manuscript and print—can teach us about Shakespeare’s texts and their early reception. Paper and ink often take on metaphorical significance in Shakespeare’s works. For example, Othello describes Desdemona as “fair paper” (as opposed to “foul paper”) asking if such a “goodly book” was “made to write ‘whore’ upon.”</w:t>
      </w:r>
      <w:r w:rsidRPr="00DD343F">
        <w:rPr>
          <w:rStyle w:val="EndnoteReference"/>
          <w:rFonts w:cs="Times New Roman"/>
        </w:rPr>
        <w:endnoteReference w:id="1"/>
      </w:r>
      <w:r w:rsidRPr="00DD343F">
        <w:rPr>
          <w:rFonts w:ascii="Times New Roman" w:hAnsi="Times New Roman" w:cs="Times New Roman"/>
        </w:rPr>
        <w:t xml:space="preserve"> Similarly, Leontes of </w:t>
      </w:r>
      <w:r w:rsidRPr="00DD343F">
        <w:rPr>
          <w:rFonts w:ascii="Times New Roman" w:hAnsi="Times New Roman" w:cs="Times New Roman"/>
          <w:i/>
        </w:rPr>
        <w:t>The Winter’s Tale</w:t>
      </w:r>
      <w:r w:rsidRPr="00DD343F">
        <w:rPr>
          <w:rFonts w:ascii="Times New Roman" w:hAnsi="Times New Roman" w:cs="Times New Roman"/>
        </w:rPr>
        <w:t xml:space="preserve"> deems Florizel’s mother faithful because she accurately “print[ed]” his “Royal father off” when she conceived him, thus punning on the paper size/quality, “Royal,” whilst alluding to commonplace links between printing and parenting.</w:t>
      </w:r>
      <w:r w:rsidRPr="00DD343F">
        <w:rPr>
          <w:rStyle w:val="EndnoteReference"/>
          <w:rFonts w:cs="Times New Roman"/>
        </w:rPr>
        <w:endnoteReference w:id="2"/>
      </w:r>
      <w:r w:rsidRPr="00DD343F">
        <w:rPr>
          <w:rFonts w:ascii="Times New Roman" w:hAnsi="Times New Roman" w:cs="Times New Roman"/>
        </w:rPr>
        <w:t xml:space="preserve"> At the heart of both metaphors are concerns over honesty, legitimacy, and reliable copying. It is perhaps ironic, then, that in recent years paper and ink have enabled researchers to expose seemingly “goodly,” legitimate print editions of Shakespeare’s texts as piracies and forgeries. </w:t>
      </w:r>
    </w:p>
    <w:p w14:paraId="34252F91" w14:textId="77777777"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rPr>
        <w:tab/>
      </w:r>
      <w:r w:rsidRPr="00DD343F">
        <w:rPr>
          <w:rFonts w:ascii="Times New Roman" w:hAnsi="Times New Roman" w:cs="Times New Roman"/>
          <w:bCs/>
        </w:rPr>
        <w:t>The first things that usually come to mind when we think of Shakespeare, paper, and ink are the printed books in which his plays and poems circulated among readers, but early modern theatres were also heavily reliant on textual documents—scribal ones. In order to stage a performance, companies needed access to the text of the play, be it as individual “parts”—the lines accorded to different actors plus their cues to speak those lines</w:t>
      </w:r>
      <w:r w:rsidRPr="00DD343F">
        <w:rPr>
          <w:rStyle w:val="EndnoteReference"/>
          <w:rFonts w:cs="Times New Roman"/>
          <w:bCs/>
        </w:rPr>
        <w:endnoteReference w:id="3"/>
      </w:r>
      <w:r w:rsidRPr="00DD343F">
        <w:rPr>
          <w:rFonts w:ascii="Times New Roman" w:hAnsi="Times New Roman" w:cs="Times New Roman"/>
          <w:bCs/>
        </w:rPr>
        <w:t xml:space="preserve">—as well as a manuscript of the full play, known as the “approved book.” As Tiffany Stern has reminded us, performance was often “described as a literalized book” and the prompter was “also called the ‘book holder’ (and, occasionally ‘book keeper’), because he held the manuscript ‘book’ of the play in his hands </w:t>
      </w:r>
      <w:r w:rsidRPr="00DD343F">
        <w:rPr>
          <w:rFonts w:ascii="Times New Roman" w:hAnsi="Times New Roman" w:cs="Times New Roman"/>
          <w:bCs/>
        </w:rPr>
        <w:lastRenderedPageBreak/>
        <w:t>throughout the production and guided and corrected actors against it.”</w:t>
      </w:r>
      <w:r w:rsidRPr="00DD343F">
        <w:rPr>
          <w:rFonts w:ascii="Times New Roman" w:hAnsi="Times New Roman" w:cs="Times New Roman"/>
          <w:bCs/>
          <w:vertAlign w:val="superscript"/>
        </w:rPr>
        <w:endnoteReference w:id="4"/>
      </w:r>
      <w:r w:rsidRPr="00DD343F">
        <w:rPr>
          <w:rFonts w:ascii="Times New Roman" w:hAnsi="Times New Roman" w:cs="Times New Roman"/>
          <w:bCs/>
        </w:rPr>
        <w:t xml:space="preserve"> We also know from contemporary accounts that forthcoming productions were advertised via paper hung on posts or walls (playbills), that books and broadside ballads were sold within the theatres, and that additional documents of performance, such as arguments that offered literate audiences an overview of the play to be performed, likely circulated independently from playbooks in much the same way that play synopses and programs do in theatres today.</w:t>
      </w:r>
      <w:r w:rsidRPr="00DD343F">
        <w:rPr>
          <w:rStyle w:val="EndnoteReference"/>
          <w:rFonts w:cs="Times New Roman"/>
          <w:bCs/>
        </w:rPr>
        <w:endnoteReference w:id="5"/>
      </w:r>
      <w:r w:rsidRPr="00DD343F">
        <w:rPr>
          <w:rFonts w:ascii="Times New Roman" w:hAnsi="Times New Roman" w:cs="Times New Roman"/>
          <w:bCs/>
        </w:rPr>
        <w:t xml:space="preserve"> We might also speculate that the food produce sold in theatres came wrapped in recycled paper, and that the same kind of paper served a less savory purpose on occasions when toilet facilities were made available to actors or patrons.</w:t>
      </w:r>
      <w:r w:rsidRPr="00DD343F">
        <w:rPr>
          <w:rFonts w:ascii="Times New Roman" w:hAnsi="Times New Roman" w:cs="Times New Roman"/>
          <w:bCs/>
          <w:vertAlign w:val="superscript"/>
        </w:rPr>
        <w:endnoteReference w:id="6"/>
      </w:r>
      <w:r w:rsidRPr="00DD343F">
        <w:rPr>
          <w:rFonts w:ascii="Times New Roman" w:hAnsi="Times New Roman" w:cs="Times New Roman"/>
          <w:bCs/>
        </w:rPr>
        <w:t xml:space="preserve"> Paper was everywhere in the early modern theatre industry. The theatre capitalized on a range of different paper products, and theatregoers would, by extension, have frequently encountered paper within the yard.  </w:t>
      </w:r>
    </w:p>
    <w:p w14:paraId="119EA38C" w14:textId="77777777"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bCs/>
        </w:rPr>
        <w:tab/>
        <w:t>Of course, paper and ink also functioned as stage properties, including letters to be read aloud, such as Hamlet’s letter to Ophelia, which Polonius reads to the King and Queen. This case demonstrates how staged papers could be used either to convey or else—as in the case of Polonius’ reading of the letter—to undermine the authority of their authors.</w:t>
      </w:r>
      <w:r w:rsidRPr="00DD343F">
        <w:rPr>
          <w:rStyle w:val="EndnoteReference"/>
          <w:rFonts w:cs="Times New Roman"/>
          <w:bCs/>
        </w:rPr>
        <w:endnoteReference w:id="7"/>
      </w:r>
      <w:r w:rsidRPr="00DD343F">
        <w:rPr>
          <w:rFonts w:ascii="Times New Roman" w:hAnsi="Times New Roman" w:cs="Times New Roman"/>
          <w:bCs/>
        </w:rPr>
        <w:t xml:space="preserve"> Papers could also be staged to provide helpful cues or speeches for actors under pressure to learn lines for a whole repertory of plays. References to paper and ink abound in dialogue, as do allusions to the practice of writing, reading, and even perfuming letters.</w:t>
      </w:r>
      <w:r w:rsidRPr="00DD343F">
        <w:rPr>
          <w:rStyle w:val="EndnoteReference"/>
          <w:rFonts w:cs="Times New Roman"/>
          <w:bCs/>
        </w:rPr>
        <w:endnoteReference w:id="8"/>
      </w:r>
      <w:r w:rsidRPr="00DD343F">
        <w:rPr>
          <w:rFonts w:ascii="Times New Roman" w:hAnsi="Times New Roman" w:cs="Times New Roman"/>
          <w:bCs/>
        </w:rPr>
        <w:t xml:space="preserve"> Cleopatra tells Charmain to fetch her “ink and Paper”; Pericles bids Nestor to bring him “spices, ink and paper”; Young master Rash in </w:t>
      </w:r>
      <w:r w:rsidRPr="00DD343F">
        <w:rPr>
          <w:rFonts w:ascii="Times New Roman" w:hAnsi="Times New Roman" w:cs="Times New Roman"/>
          <w:bCs/>
          <w:i/>
          <w:iCs/>
        </w:rPr>
        <w:t>Measure for Measure</w:t>
      </w:r>
      <w:r w:rsidRPr="00DD343F">
        <w:rPr>
          <w:rFonts w:ascii="Times New Roman" w:hAnsi="Times New Roman" w:cs="Times New Roman"/>
          <w:bCs/>
        </w:rPr>
        <w:t xml:space="preserve"> wants “a commodity of Brown paper”; and in </w:t>
      </w:r>
      <w:r w:rsidRPr="00DD343F">
        <w:rPr>
          <w:rFonts w:ascii="Times New Roman" w:hAnsi="Times New Roman" w:cs="Times New Roman"/>
          <w:bCs/>
          <w:i/>
          <w:iCs/>
        </w:rPr>
        <w:t>Love’s Labour’s Lost</w:t>
      </w:r>
      <w:r w:rsidRPr="00DD343F">
        <w:rPr>
          <w:rFonts w:ascii="Times New Roman" w:hAnsi="Times New Roman" w:cs="Times New Roman"/>
          <w:bCs/>
        </w:rPr>
        <w:t>, the Princess of France makes mocking reference to the King’s failure to respect correct writing etiquette in which one ought not to cram “a sheet of paper,” or write “o’ both sides the leaf, margent and all.”</w:t>
      </w:r>
      <w:r w:rsidRPr="00DD343F">
        <w:rPr>
          <w:rStyle w:val="EndnoteReference"/>
          <w:rFonts w:cs="Times New Roman"/>
          <w:bCs/>
        </w:rPr>
        <w:endnoteReference w:id="9"/>
      </w:r>
      <w:r w:rsidRPr="00DD343F">
        <w:rPr>
          <w:rFonts w:ascii="Times New Roman" w:hAnsi="Times New Roman" w:cs="Times New Roman"/>
          <w:bCs/>
        </w:rPr>
        <w:t xml:space="preserve"> These paper props served both the fictional world of the plays and the actors </w:t>
      </w:r>
      <w:r w:rsidRPr="00DD343F">
        <w:rPr>
          <w:rFonts w:ascii="Times New Roman" w:hAnsi="Times New Roman" w:cs="Times New Roman"/>
          <w:bCs/>
        </w:rPr>
        <w:lastRenderedPageBreak/>
        <w:t>who performed in them not only as props, but also as methods of visual characterization. As Alan Stewart notes, “papers” appear more often than any other object “except costumes and ‘prosthetic’ props such as swords, crowns, handkerchiefs, beards, and hairpieces.”</w:t>
      </w:r>
      <w:r w:rsidRPr="00DD343F">
        <w:rPr>
          <w:rStyle w:val="EndnoteReference"/>
          <w:rFonts w:cs="Times New Roman"/>
          <w:bCs/>
        </w:rPr>
        <w:endnoteReference w:id="10"/>
      </w:r>
      <w:r w:rsidRPr="00DD343F">
        <w:rPr>
          <w:rFonts w:ascii="Times New Roman" w:hAnsi="Times New Roman" w:cs="Times New Roman"/>
          <w:bCs/>
        </w:rPr>
        <w:t xml:space="preserve"> </w:t>
      </w:r>
      <w:r w:rsidRPr="00DD343F">
        <w:rPr>
          <w:rFonts w:ascii="Times New Roman" w:hAnsi="Times New Roman" w:cs="Times New Roman"/>
          <w:bCs/>
          <w:color w:val="000000"/>
        </w:rPr>
        <w:t>Indeed, paper often acts as a proxy for characters’ voices, the circulation of paper establishes interpersonal connections between characters, and the staged or narrated act of putting ink to paper is used to comment on, or else to gesture towards characters’ inner conflicts.</w:t>
      </w:r>
    </w:p>
    <w:p w14:paraId="0DF4EB7C" w14:textId="09E50A20"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The distinction between the white of paper and the black of ink was frequently used to suggest “good” and “bad” female conduct as well as construct racial opposition, where whiteness (or “fairness”) signaled purity and blackness marked corruption.</w:t>
      </w:r>
      <w:r w:rsidR="00E26E0C">
        <w:rPr>
          <w:rStyle w:val="EndnoteReference"/>
          <w:rFonts w:cs="Times New Roman"/>
          <w:bCs/>
        </w:rPr>
        <w:endnoteReference w:id="11"/>
      </w:r>
      <w:r w:rsidRPr="00DD343F">
        <w:rPr>
          <w:rFonts w:ascii="Times New Roman" w:hAnsi="Times New Roman" w:cs="Times New Roman"/>
          <w:bCs/>
        </w:rPr>
        <w:t xml:space="preserve"> In </w:t>
      </w:r>
      <w:r w:rsidRPr="00DD343F">
        <w:rPr>
          <w:rFonts w:ascii="Times New Roman" w:hAnsi="Times New Roman" w:cs="Times New Roman"/>
          <w:bCs/>
          <w:i/>
          <w:iCs/>
        </w:rPr>
        <w:t>The Merchant of Venice</w:t>
      </w:r>
      <w:r w:rsidRPr="00DD343F">
        <w:rPr>
          <w:rFonts w:ascii="Times New Roman" w:hAnsi="Times New Roman" w:cs="Times New Roman"/>
          <w:bCs/>
        </w:rPr>
        <w:t>, Lorenzo recognises Jessica’s handwriting, stating that hers is “a fair hand” that is “whiter than the paper it writ on”; Troilus claims that, in comparison to Cressida’s hand, “all whites are ink”; and the “Dark Lady” sonnets frequently refer to ink as a marker of darkness and therefore illicit desire.</w:t>
      </w:r>
      <w:r w:rsidRPr="00DD343F">
        <w:rPr>
          <w:rStyle w:val="EndnoteReference"/>
          <w:rFonts w:cs="Times New Roman"/>
          <w:bCs/>
        </w:rPr>
        <w:endnoteReference w:id="12"/>
      </w:r>
      <w:r w:rsidRPr="00DD343F">
        <w:rPr>
          <w:rFonts w:ascii="Times New Roman" w:hAnsi="Times New Roman" w:cs="Times New Roman"/>
          <w:bCs/>
        </w:rPr>
        <w:t xml:space="preserve"> As Kim F. Hall has noted, “[D]escriptions of dark and light, rather than being mere indications of Elizabethan beauty standards or markers of moral categories, became in the early modern period the conduit through which the English began to formulate the notions of ‘self’ and ‘other’ so well known in Anglo-American discourse.”</w:t>
      </w:r>
      <w:r w:rsidRPr="00DD343F">
        <w:rPr>
          <w:rStyle w:val="EndnoteReference"/>
          <w:rFonts w:cs="Times New Roman"/>
          <w:bCs/>
        </w:rPr>
        <w:endnoteReference w:id="13"/>
      </w:r>
      <w:r w:rsidRPr="00DD343F">
        <w:rPr>
          <w:rFonts w:ascii="Times New Roman" w:hAnsi="Times New Roman" w:cs="Times New Roman"/>
          <w:bCs/>
        </w:rPr>
        <w:t xml:space="preserve"> Such consistent references to paper and ink reify “a hierarchy of black and white [which] perpetuates racism.”</w:t>
      </w:r>
      <w:r w:rsidRPr="00DD343F">
        <w:rPr>
          <w:rStyle w:val="EndnoteReference"/>
          <w:rFonts w:cs="Times New Roman"/>
          <w:bCs/>
        </w:rPr>
        <w:endnoteReference w:id="14"/>
      </w:r>
      <w:r w:rsidRPr="00DD343F">
        <w:rPr>
          <w:rFonts w:ascii="Times New Roman" w:hAnsi="Times New Roman" w:cs="Times New Roman"/>
          <w:bCs/>
        </w:rPr>
        <w:t xml:space="preserve"> References to “fair paper” and the “stain” of ink take this hierarchy as a given to express misogynist anxieties about female sexual purity, as when Hero, falsely accused of adultery, is described as having fallen “into a pit of ink, that the wide sea / Hath drops too few to wash her clean again.”</w:t>
      </w:r>
      <w:r w:rsidRPr="00DD343F">
        <w:rPr>
          <w:rStyle w:val="EndnoteReference"/>
          <w:rFonts w:cs="Times New Roman"/>
          <w:bCs/>
        </w:rPr>
        <w:endnoteReference w:id="15"/>
      </w:r>
      <w:r w:rsidRPr="00DD343F">
        <w:rPr>
          <w:rFonts w:ascii="Times New Roman" w:hAnsi="Times New Roman" w:cs="Times New Roman"/>
          <w:bCs/>
        </w:rPr>
        <w:t xml:space="preserve"> The (material) qualities of paper and ink and the contents of the texts that these materials help to transmit are often equated in Shakespeare’s plays and poems. It is in this conflation where a pervasive anxiety about the reliability of the written word comes into sharp focus.</w:t>
      </w:r>
    </w:p>
    <w:p w14:paraId="07FA9B50" w14:textId="471FF6BA" w:rsidR="00CA54B4" w:rsidRPr="009F6D0E" w:rsidRDefault="00CA54B4" w:rsidP="009F6D0E">
      <w:pPr>
        <w:spacing w:line="480" w:lineRule="auto"/>
        <w:ind w:firstLine="708"/>
        <w:rPr>
          <w:rFonts w:ascii="Times New Roman" w:hAnsi="Times New Roman" w:cs="Times New Roman"/>
        </w:rPr>
      </w:pPr>
      <w:r w:rsidRPr="00DD343F">
        <w:rPr>
          <w:rFonts w:ascii="Times New Roman" w:hAnsi="Times New Roman" w:cs="Times New Roman"/>
        </w:rPr>
        <w:lastRenderedPageBreak/>
        <w:t xml:space="preserve">In this chapter, I </w:t>
      </w:r>
      <w:r w:rsidR="00BE596D">
        <w:rPr>
          <w:rFonts w:ascii="Times New Roman" w:hAnsi="Times New Roman" w:cs="Times New Roman"/>
        </w:rPr>
        <w:t xml:space="preserve">first </w:t>
      </w:r>
      <w:r w:rsidRPr="00DD343F">
        <w:rPr>
          <w:rFonts w:ascii="Times New Roman" w:hAnsi="Times New Roman" w:cs="Times New Roman"/>
        </w:rPr>
        <w:t xml:space="preserve">explore the relationship between paper, ink, and the Shakespearean text via textual allusions to paper and ink within Shakespeare’s plays and poems. </w:t>
      </w:r>
      <w:r w:rsidR="00A66655">
        <w:rPr>
          <w:rFonts w:ascii="Times New Roman" w:hAnsi="Times New Roman" w:cs="Times New Roman"/>
        </w:rPr>
        <w:t xml:space="preserve">I </w:t>
      </w:r>
      <w:r w:rsidR="00BE596D">
        <w:rPr>
          <w:rFonts w:ascii="Times New Roman" w:hAnsi="Times New Roman" w:cs="Times New Roman"/>
        </w:rPr>
        <w:t xml:space="preserve">here </w:t>
      </w:r>
      <w:r w:rsidR="00A66655">
        <w:rPr>
          <w:rFonts w:ascii="Times New Roman" w:hAnsi="Times New Roman" w:cs="Times New Roman"/>
        </w:rPr>
        <w:t xml:space="preserve">argue that </w:t>
      </w:r>
      <w:r w:rsidR="009F6D0E">
        <w:rPr>
          <w:rFonts w:ascii="Times New Roman" w:hAnsi="Times New Roman" w:cs="Times New Roman"/>
        </w:rPr>
        <w:t xml:space="preserve">Shakespeare’s </w:t>
      </w:r>
      <w:r w:rsidR="00A4212B">
        <w:rPr>
          <w:rFonts w:ascii="Times New Roman" w:hAnsi="Times New Roman" w:cs="Times New Roman"/>
        </w:rPr>
        <w:t>text</w:t>
      </w:r>
      <w:r w:rsidR="009F6D0E">
        <w:rPr>
          <w:rFonts w:ascii="Times New Roman" w:hAnsi="Times New Roman" w:cs="Times New Roman"/>
        </w:rPr>
        <w:t xml:space="preserve">s convey a sense of anxiety about the reliability of the visible, written word, as if it </w:t>
      </w:r>
      <w:r w:rsidR="00534C45">
        <w:rPr>
          <w:rFonts w:ascii="Times New Roman" w:hAnsi="Times New Roman" w:cs="Times New Roman"/>
        </w:rPr>
        <w:t xml:space="preserve">might </w:t>
      </w:r>
      <w:r w:rsidR="009F6D0E">
        <w:rPr>
          <w:rFonts w:ascii="Times New Roman" w:hAnsi="Times New Roman" w:cs="Times New Roman"/>
        </w:rPr>
        <w:t>conceal or obscure truths. In the second half</w:t>
      </w:r>
      <w:r w:rsidR="00BE596D">
        <w:rPr>
          <w:rFonts w:ascii="Times New Roman" w:hAnsi="Times New Roman" w:cs="Times New Roman"/>
        </w:rPr>
        <w:t xml:space="preserve"> of the chapter</w:t>
      </w:r>
      <w:r w:rsidR="009F6D0E">
        <w:rPr>
          <w:rFonts w:ascii="Times New Roman" w:hAnsi="Times New Roman" w:cs="Times New Roman"/>
        </w:rPr>
        <w:t xml:space="preserve">, I explore the inverse phenomenon by </w:t>
      </w:r>
      <w:r w:rsidR="00A4212B">
        <w:rPr>
          <w:rFonts w:ascii="Times New Roman" w:hAnsi="Times New Roman" w:cs="Times New Roman"/>
        </w:rPr>
        <w:t>considering</w:t>
      </w:r>
      <w:r w:rsidR="009F6D0E">
        <w:rPr>
          <w:rFonts w:ascii="Times New Roman" w:hAnsi="Times New Roman" w:cs="Times New Roman"/>
        </w:rPr>
        <w:t xml:space="preserve"> </w:t>
      </w:r>
      <w:r w:rsidRPr="00DD343F">
        <w:rPr>
          <w:rFonts w:ascii="Times New Roman" w:hAnsi="Times New Roman" w:cs="Times New Roman"/>
        </w:rPr>
        <w:t xml:space="preserve">the </w:t>
      </w:r>
      <w:r w:rsidR="00A4212B">
        <w:rPr>
          <w:rFonts w:ascii="Times New Roman" w:hAnsi="Times New Roman" w:cs="Times New Roman"/>
        </w:rPr>
        <w:t>bibliographic truths</w:t>
      </w:r>
      <w:r w:rsidR="007E0A0D">
        <w:rPr>
          <w:rFonts w:ascii="Times New Roman" w:hAnsi="Times New Roman" w:cs="Times New Roman"/>
        </w:rPr>
        <w:t xml:space="preserve"> </w:t>
      </w:r>
      <w:r w:rsidR="00A4212B">
        <w:rPr>
          <w:rFonts w:ascii="Times New Roman" w:hAnsi="Times New Roman" w:cs="Times New Roman"/>
        </w:rPr>
        <w:t>uncovered</w:t>
      </w:r>
      <w:r w:rsidRPr="00DD343F">
        <w:rPr>
          <w:rFonts w:ascii="Times New Roman" w:hAnsi="Times New Roman" w:cs="Times New Roman"/>
        </w:rPr>
        <w:t xml:space="preserve"> by </w:t>
      </w:r>
      <w:r w:rsidR="00A4212B">
        <w:rPr>
          <w:rFonts w:ascii="Times New Roman" w:hAnsi="Times New Roman" w:cs="Times New Roman"/>
        </w:rPr>
        <w:t xml:space="preserve">scholars </w:t>
      </w:r>
      <w:r w:rsidRPr="00DD343F">
        <w:rPr>
          <w:rFonts w:ascii="Times New Roman" w:hAnsi="Times New Roman" w:cs="Times New Roman"/>
        </w:rPr>
        <w:t>attending</w:t>
      </w:r>
      <w:r w:rsidR="009F6D0E">
        <w:rPr>
          <w:rFonts w:ascii="Times New Roman" w:hAnsi="Times New Roman" w:cs="Times New Roman"/>
        </w:rPr>
        <w:t xml:space="preserve"> to </w:t>
      </w:r>
      <w:r w:rsidR="00A4212B">
        <w:rPr>
          <w:rFonts w:ascii="Times New Roman" w:hAnsi="Times New Roman" w:cs="Times New Roman"/>
        </w:rPr>
        <w:t>that which</w:t>
      </w:r>
      <w:r w:rsidR="009F6D0E">
        <w:rPr>
          <w:rFonts w:ascii="Times New Roman" w:hAnsi="Times New Roman" w:cs="Times New Roman"/>
        </w:rPr>
        <w:t xml:space="preserve"> </w:t>
      </w:r>
      <w:r w:rsidR="00FE6408">
        <w:rPr>
          <w:rFonts w:ascii="Times New Roman" w:hAnsi="Times New Roman" w:cs="Times New Roman"/>
        </w:rPr>
        <w:t xml:space="preserve">really </w:t>
      </w:r>
      <w:r w:rsidR="00A4212B">
        <w:rPr>
          <w:rFonts w:ascii="Times New Roman" w:hAnsi="Times New Roman" w:cs="Times New Roman"/>
        </w:rPr>
        <w:t xml:space="preserve">is </w:t>
      </w:r>
      <w:r w:rsidRPr="00DD343F">
        <w:rPr>
          <w:rFonts w:ascii="Times New Roman" w:hAnsi="Times New Roman" w:cs="Times New Roman"/>
        </w:rPr>
        <w:t>hidden on and in the paper onto which the plays were printed. Paying attention to ostensibly invisible forms of inscription has the potential to revise our understanding of the material forms in which Shakespeare’s texts first circulated. Indeed, the way paper and ink interact can alert us to early readerly engagement with Shakespeare’s plays and poems; identify shrewd marketing techniques, such as false dating and clandestine publishing projects; reconstruct multi-text books that have since been disbound; and even contemplate collected editions of Shakespeare’s plays that predate the 1623 First Folio.</w:t>
      </w:r>
    </w:p>
    <w:p w14:paraId="3425066F" w14:textId="77777777" w:rsidR="00CA54B4" w:rsidRPr="00DD343F" w:rsidRDefault="00CA54B4" w:rsidP="00CA54B4">
      <w:pPr>
        <w:spacing w:line="480" w:lineRule="auto"/>
        <w:ind w:firstLine="708"/>
        <w:rPr>
          <w:rFonts w:ascii="Times New Roman" w:hAnsi="Times New Roman" w:cs="Times New Roman"/>
          <w:bCs/>
        </w:rPr>
      </w:pPr>
    </w:p>
    <w:p w14:paraId="0B7496E9" w14:textId="77777777"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b/>
        </w:rPr>
        <w:t>Paper &amp; the Written Word</w:t>
      </w:r>
    </w:p>
    <w:p w14:paraId="12CE202B" w14:textId="30491B15" w:rsidR="00CA54B4" w:rsidRPr="00DD343F" w:rsidRDefault="00CA54B4" w:rsidP="00CA54B4">
      <w:pPr>
        <w:spacing w:line="480" w:lineRule="auto"/>
        <w:rPr>
          <w:rFonts w:ascii="Times New Roman" w:hAnsi="Times New Roman" w:cs="Times New Roman"/>
          <w:lang w:val="fr-CH"/>
        </w:rPr>
      </w:pPr>
      <w:r w:rsidRPr="00DD343F">
        <w:rPr>
          <w:rFonts w:ascii="Times New Roman" w:hAnsi="Times New Roman" w:cs="Times New Roman"/>
          <w:bCs/>
        </w:rPr>
        <w:t>Paper and ink are frequently evoked to comment on the limited power of the written or printed word. One of the most powerful examples comes when Shakespeare describes</w:t>
      </w:r>
      <w:r w:rsidRPr="00DD343F">
        <w:rPr>
          <w:rFonts w:ascii="Times New Roman" w:hAnsi="Times New Roman" w:cs="Times New Roman"/>
        </w:rPr>
        <w:t xml:space="preserve"> Lucrece in an act of writing that both provides—and threatens to deprive her of—the opportunity to tell her own story: her rape by Tarquin. She asks her maid to bring her “paper, ink, and pen” and then realizes that she already has them to hand (“save that labor, for I have them here”), suggesting that she is accustomed to writing and that she both is and is not equipped for the task.</w:t>
      </w:r>
      <w:r w:rsidRPr="00DD343F">
        <w:rPr>
          <w:rStyle w:val="EndnoteReference"/>
          <w:rFonts w:cs="Times New Roman"/>
        </w:rPr>
        <w:endnoteReference w:id="16"/>
      </w:r>
      <w:r w:rsidRPr="00DD343F">
        <w:rPr>
          <w:rFonts w:ascii="Times New Roman" w:hAnsi="Times New Roman" w:cs="Times New Roman"/>
        </w:rPr>
        <w:t xml:space="preserve"> Writing to Collatine, she contemplates which details to include and which to omit, striving to retain control over her own narrative lest he, the speaker tells us, “should hold it her own gross abuse / Ere she with blood had stained her stained excuse.”</w:t>
      </w:r>
      <w:r w:rsidRPr="00DD343F">
        <w:rPr>
          <w:rStyle w:val="EndnoteReference"/>
          <w:rFonts w:cs="Times New Roman"/>
        </w:rPr>
        <w:endnoteReference w:id="17"/>
      </w:r>
      <w:r w:rsidRPr="00DD343F">
        <w:rPr>
          <w:rFonts w:ascii="Times New Roman" w:hAnsi="Times New Roman" w:cs="Times New Roman"/>
        </w:rPr>
        <w:t xml:space="preserve"> The truth of Lucrece’s rape is shown to be </w:t>
      </w:r>
      <w:r w:rsidRPr="00DD343F">
        <w:rPr>
          <w:rFonts w:ascii="Times New Roman" w:hAnsi="Times New Roman" w:cs="Times New Roman"/>
        </w:rPr>
        <w:lastRenderedPageBreak/>
        <w:t>dependent less on consent in the moment of its happening and more on subsequent inscription, reading, and representation, as indicated by the poem’s constant puns on the supposed “stain” of rape and the material qualities of ink on paper. We are told that Lucrece determines that to shun the “</w:t>
      </w:r>
      <w:r w:rsidRPr="00DD343F">
        <w:rPr>
          <w:rFonts w:ascii="Times New Roman" w:hAnsi="Times New Roman" w:cs="Times New Roman"/>
          <w:i/>
        </w:rPr>
        <w:t>blot</w:t>
      </w:r>
      <w:r w:rsidRPr="00DD343F">
        <w:rPr>
          <w:rFonts w:ascii="Times New Roman" w:hAnsi="Times New Roman" w:cs="Times New Roman"/>
        </w:rPr>
        <w:t xml:space="preserve">” of suspicion “she would not </w:t>
      </w:r>
      <w:r w:rsidRPr="00DD343F">
        <w:rPr>
          <w:rFonts w:ascii="Times New Roman" w:hAnsi="Times New Roman" w:cs="Times New Roman"/>
          <w:i/>
        </w:rPr>
        <w:t>blot</w:t>
      </w:r>
      <w:r w:rsidRPr="00DD343F">
        <w:rPr>
          <w:rFonts w:ascii="Times New Roman" w:hAnsi="Times New Roman" w:cs="Times New Roman"/>
        </w:rPr>
        <w:t xml:space="preserve"> the letter / With words till action might become them better.”</w:t>
      </w:r>
      <w:r w:rsidRPr="00DD343F">
        <w:rPr>
          <w:rStyle w:val="EndnoteReference"/>
          <w:rFonts w:cs="Times New Roman"/>
        </w:rPr>
        <w:endnoteReference w:id="18"/>
      </w:r>
      <w:r w:rsidRPr="00DD343F">
        <w:rPr>
          <w:rFonts w:ascii="Times New Roman" w:hAnsi="Times New Roman" w:cs="Times New Roman"/>
        </w:rPr>
        <w:t xml:space="preserve"> The passage contains several competing narratives: Shakespeare’s retelling of a classical tale, the speaker’s commentary, Lucrece’s attempts to author(ize) her own story via a letter, and the hypothetical misreadings of her body and letter which cause her such anxiety. In addition to contrasting the relative power of action and speech, the passage also conveys Lucrece’s fear about the ability of the written word (black ink) to convey truth and preserve reputation (unstained paper). Paradoxically, Lucrece must “stain” the paper to remain herself “unstained.” </w:t>
      </w:r>
      <w:r w:rsidRPr="00DD343F">
        <w:rPr>
          <w:rFonts w:ascii="Times New Roman" w:hAnsi="Times New Roman" w:cs="Times New Roman"/>
          <w:bCs/>
        </w:rPr>
        <w:t xml:space="preserve">She </w:t>
      </w:r>
      <w:r w:rsidRPr="00DD343F">
        <w:rPr>
          <w:rFonts w:ascii="Times New Roman" w:hAnsi="Times New Roman" w:cs="Times New Roman"/>
        </w:rPr>
        <w:t>hovers “o’er the paper with her quill,” but “[w]hat wit sets down is blotted straight with will,” suggesting a hesitancy that recognizes both that ink is desired (it is the means by which she can tell her story) but that the act of inscription risks “blotting” the page and thus her self-authored narrative.</w:t>
      </w:r>
      <w:r w:rsidRPr="00DD343F">
        <w:rPr>
          <w:rStyle w:val="EndnoteReference"/>
          <w:rFonts w:cs="Times New Roman"/>
        </w:rPr>
        <w:endnoteReference w:id="19"/>
      </w:r>
      <w:r w:rsidRPr="00DD343F">
        <w:rPr>
          <w:rFonts w:ascii="Times New Roman" w:hAnsi="Times New Roman" w:cs="Times New Roman"/>
        </w:rPr>
        <w:t xml:space="preserve"> Earlier, she speaks of her brow as being “charactered”—that is, inscribed by either handwriting or inked pieces of type—and compares herself to a printed book in which her “sweet chastity’s decay” will be read and “quot[ed].”</w:t>
      </w:r>
      <w:r w:rsidRPr="00DD343F">
        <w:rPr>
          <w:rStyle w:val="EndnoteReference"/>
          <w:rFonts w:cs="Times New Roman"/>
        </w:rPr>
        <w:endnoteReference w:id="20"/>
      </w:r>
      <w:r w:rsidRPr="00DD343F">
        <w:rPr>
          <w:rFonts w:ascii="Times New Roman" w:hAnsi="Times New Roman" w:cs="Times New Roman"/>
        </w:rPr>
        <w:t xml:space="preserve"> </w:t>
      </w:r>
      <w:r w:rsidRPr="00DD343F">
        <w:rPr>
          <w:rFonts w:ascii="Times New Roman" w:hAnsi="Times New Roman" w:cs="Times New Roman"/>
          <w:bCs/>
        </w:rPr>
        <w:t xml:space="preserve">Here, the material realities of writing and </w:t>
      </w:r>
      <w:r w:rsidRPr="00DD343F">
        <w:rPr>
          <w:rFonts w:ascii="Times New Roman" w:hAnsi="Times New Roman" w:cs="Times New Roman"/>
        </w:rPr>
        <w:t xml:space="preserve">Lucrece’s concerns about how her body and her letter will be read (her </w:t>
      </w:r>
      <w:r w:rsidRPr="00DD343F">
        <w:rPr>
          <w:rFonts w:ascii="Times New Roman" w:hAnsi="Times New Roman" w:cs="Times New Roman"/>
          <w:bCs/>
        </w:rPr>
        <w:t xml:space="preserve">attempts not to blot either her paper or her reputation) suggest the supposedly decipherable, yet incommunicable nature of rape and the ways in which accounts of (and by) rape victims remain endlessly open to scrutiny, misreading, and retelling. </w:t>
      </w:r>
    </w:p>
    <w:p w14:paraId="08B4DBF4" w14:textId="7FA0C27A" w:rsidR="00CA54B4" w:rsidRPr="00DD343F" w:rsidRDefault="00CA54B4" w:rsidP="00CA54B4">
      <w:pPr>
        <w:spacing w:line="480" w:lineRule="auto"/>
        <w:ind w:firstLine="708"/>
        <w:rPr>
          <w:rFonts w:ascii="Times New Roman" w:hAnsi="Times New Roman" w:cs="Times New Roman"/>
        </w:rPr>
      </w:pPr>
      <w:r w:rsidRPr="00DD343F">
        <w:rPr>
          <w:rFonts w:ascii="Times New Roman" w:hAnsi="Times New Roman" w:cs="Times New Roman"/>
        </w:rPr>
        <w:t xml:space="preserve">This same association between female characters and their handwriting (an original meaning of the word “character”) appears in many of Shakespeare’s plays. Whilst sleepwalking, Lady Macbeth is said to “take forth paper, fold it, write upon’t, read it, afterwards seal it, and </w:t>
      </w:r>
      <w:r w:rsidRPr="00DD343F">
        <w:rPr>
          <w:rFonts w:ascii="Times New Roman" w:hAnsi="Times New Roman" w:cs="Times New Roman"/>
        </w:rPr>
        <w:lastRenderedPageBreak/>
        <w:t>again return to bed,” but we never get to read or hear this “document in madness.”</w:t>
      </w:r>
      <w:r w:rsidRPr="00DD343F">
        <w:rPr>
          <w:rStyle w:val="EndnoteReference"/>
          <w:rFonts w:cs="Times New Roman"/>
        </w:rPr>
        <w:endnoteReference w:id="21"/>
      </w:r>
      <w:r w:rsidRPr="00DD343F">
        <w:rPr>
          <w:rFonts w:ascii="Times New Roman" w:hAnsi="Times New Roman" w:cs="Times New Roman"/>
        </w:rPr>
        <w:t xml:space="preserve"> It is as if Shakespeare deliberately teases us, using the metatheatrical frame—through which we watch the Doctor and Gentlewoman as they observe Lady Macbeth with her paper and ink—in order to both pique and frustrate our intrigue about the letter’s contents and, by extension, the unknowable contents of an unravelling human mind. A more light-hearted battle between writing and female composure emerges in </w:t>
      </w:r>
      <w:r w:rsidRPr="00DD343F">
        <w:rPr>
          <w:rFonts w:ascii="Times New Roman" w:hAnsi="Times New Roman" w:cs="Times New Roman"/>
          <w:i/>
        </w:rPr>
        <w:t>Much Ado,</w:t>
      </w:r>
      <w:r w:rsidRPr="00DD343F">
        <w:rPr>
          <w:rFonts w:ascii="Times New Roman" w:hAnsi="Times New Roman" w:cs="Times New Roman"/>
        </w:rPr>
        <w:t xml:space="preserve"> where an amorous Beatrice is said to “be up twenty times a night … ’til she have writ a sheet of paper,” before tearing it because it causes her to see “Benedick and Beatrice between the sheet.”</w:t>
      </w:r>
      <w:r w:rsidRPr="00DD343F">
        <w:rPr>
          <w:rStyle w:val="EndnoteReference"/>
          <w:rFonts w:cs="Times New Roman"/>
        </w:rPr>
        <w:endnoteReference w:id="22"/>
      </w:r>
      <w:r w:rsidRPr="00DD343F">
        <w:rPr>
          <w:rFonts w:ascii="Times New Roman" w:hAnsi="Times New Roman" w:cs="Times New Roman"/>
        </w:rPr>
        <w:t xml:space="preserve"> The obvious pun on sheets of paper and bedsheets belies her </w:t>
      </w:r>
      <w:r w:rsidR="00625832" w:rsidRPr="00DD343F">
        <w:rPr>
          <w:rFonts w:ascii="Times New Roman" w:hAnsi="Times New Roman" w:cs="Times New Roman"/>
        </w:rPr>
        <w:t>suppressed</w:t>
      </w:r>
      <w:r w:rsidRPr="00DD343F">
        <w:rPr>
          <w:rFonts w:ascii="Times New Roman" w:hAnsi="Times New Roman" w:cs="Times New Roman"/>
        </w:rPr>
        <w:t xml:space="preserve"> sexual desire for Benedict (we never get to read or hear what she has written) whilst enabling the audience to contemplate their inevitable, yet unstageable, sexual union. As Jonas Barish states, “Shakespeare places a quite extraordinary reliance on writings in his plays ... whether in documents we actually see or those we only hear about … so that graphic communication becomes as natural and inevitable and indispensable a part of the verbal medium as its vocal counterpart.”</w:t>
      </w:r>
      <w:r w:rsidRPr="00DD343F">
        <w:rPr>
          <w:rStyle w:val="EndnoteReference"/>
          <w:rFonts w:cs="Times New Roman"/>
        </w:rPr>
        <w:endnoteReference w:id="23"/>
      </w:r>
      <w:r w:rsidRPr="00DD343F">
        <w:rPr>
          <w:rFonts w:ascii="Times New Roman" w:hAnsi="Times New Roman" w:cs="Times New Roman"/>
        </w:rPr>
        <w:t xml:space="preserve"> The tendency both to show scenes of writing and conceal the contents of that writing is most commonly found in episodes of female inscription that expose male anxieties about rumours, reputation, and the perceived unknowability of what women are thinking.</w:t>
      </w:r>
    </w:p>
    <w:p w14:paraId="1D66DA50"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Letters abound in Shakespeare, but paper also played more diverse roles on the early modern stage. These, too, reflect concerns about the stability, reliability, and interpretability of the written word. Paper appeared in shapes as varied as crowns and ring coverings, as individual sheets of poetry pinned to trees in the Forest of Arden, as bills that are posted, snatched and torn, or else as material books.</w:t>
      </w:r>
      <w:r w:rsidRPr="00DD343F">
        <w:rPr>
          <w:rStyle w:val="EndnoteReference"/>
          <w:rFonts w:cs="Times New Roman"/>
          <w:bCs/>
        </w:rPr>
        <w:endnoteReference w:id="24"/>
      </w:r>
      <w:r w:rsidRPr="00DD343F">
        <w:rPr>
          <w:rFonts w:ascii="Times New Roman" w:hAnsi="Times New Roman" w:cs="Times New Roman"/>
          <w:bCs/>
        </w:rPr>
        <w:t xml:space="preserve"> As Nina da Vinci Nichols has argued, paper frequently “performs as a theatrical device” in Shakespeare, sometimes advancing the plot and other times creating </w:t>
      </w:r>
      <w:r w:rsidRPr="00DD343F">
        <w:rPr>
          <w:rFonts w:ascii="Times New Roman" w:hAnsi="Times New Roman" w:cs="Times New Roman"/>
          <w:bCs/>
        </w:rPr>
        <w:lastRenderedPageBreak/>
        <w:t>tension within the scene.</w:t>
      </w:r>
      <w:r w:rsidRPr="00DD343F">
        <w:rPr>
          <w:rStyle w:val="EndnoteReference"/>
          <w:rFonts w:cs="Times New Roman"/>
          <w:bCs/>
        </w:rPr>
        <w:endnoteReference w:id="25"/>
      </w:r>
      <w:r w:rsidRPr="00DD343F">
        <w:rPr>
          <w:rFonts w:ascii="Times New Roman" w:hAnsi="Times New Roman" w:cs="Times New Roman"/>
          <w:bCs/>
        </w:rPr>
        <w:t xml:space="preserve"> Indeed, Margaret’s use of a paper crown to taunt York in </w:t>
      </w:r>
      <w:r w:rsidRPr="00DD343F">
        <w:rPr>
          <w:rFonts w:ascii="Times New Roman" w:hAnsi="Times New Roman" w:cs="Times New Roman"/>
          <w:bCs/>
          <w:i/>
          <w:iCs/>
        </w:rPr>
        <w:t>Henry VI, Part 3</w:t>
      </w:r>
      <w:r w:rsidRPr="00DD343F">
        <w:rPr>
          <w:rFonts w:ascii="Times New Roman" w:hAnsi="Times New Roman" w:cs="Times New Roman"/>
          <w:bCs/>
        </w:rPr>
        <w:t xml:space="preserve"> ought to be seen as a metatheatrical device. She addresses him as if he were a mere actor for hire (“thou woud’st be fee’d, I see, to make me sport”)</w:t>
      </w:r>
      <w:r w:rsidRPr="00DD343F">
        <w:rPr>
          <w:rStyle w:val="EndnoteReference"/>
          <w:rFonts w:cs="Times New Roman"/>
          <w:bCs/>
        </w:rPr>
        <w:endnoteReference w:id="26"/>
      </w:r>
      <w:r w:rsidRPr="00DD343F">
        <w:rPr>
          <w:rFonts w:ascii="Times New Roman" w:hAnsi="Times New Roman" w:cs="Times New Roman"/>
          <w:bCs/>
        </w:rPr>
        <w:t xml:space="preserve"> and presents him as an </w:t>
      </w:r>
      <w:r w:rsidRPr="00DD343F">
        <w:rPr>
          <w:rFonts w:ascii="Times New Roman" w:hAnsi="Times New Roman" w:cs="Times New Roman"/>
          <w:bCs/>
          <w:i/>
          <w:iCs/>
        </w:rPr>
        <w:t>ex tempore</w:t>
      </w:r>
      <w:r w:rsidRPr="00DD343F">
        <w:rPr>
          <w:rFonts w:ascii="Times New Roman" w:hAnsi="Times New Roman" w:cs="Times New Roman"/>
          <w:bCs/>
        </w:rPr>
        <w:t xml:space="preserve"> player-king, allowed to wear only an ephemeral, replica crown—and one made out of perishable material at that—without ever embodying the role Henry has promised him. It has also been suggested that the crown she places on York’s head may have been constructed on stage by folding the “legal pact [Margaret] somehow has been holding” into a paper hat of sorts.</w:t>
      </w:r>
      <w:r w:rsidRPr="00DD343F">
        <w:rPr>
          <w:rStyle w:val="EndnoteReference"/>
          <w:rFonts w:cs="Times New Roman"/>
          <w:bCs/>
        </w:rPr>
        <w:endnoteReference w:id="27"/>
      </w:r>
      <w:r w:rsidRPr="00DD343F">
        <w:rPr>
          <w:rFonts w:ascii="Times New Roman" w:hAnsi="Times New Roman" w:cs="Times New Roman"/>
          <w:bCs/>
        </w:rPr>
        <w:t xml:space="preserve"> If so, then the “paper crown” would probably have resembled a crumpled halo at best. However, this act of on-stage paper recycling nonetheless would have had the effect of collapsing the conceptual distance between oaths, official documents, and the material forms in which they circulate. As with the example of Gloucester’s bill, torn down by the Bishop of Winchester in </w:t>
      </w:r>
      <w:r w:rsidRPr="00DD343F">
        <w:rPr>
          <w:rFonts w:ascii="Times New Roman" w:hAnsi="Times New Roman" w:cs="Times New Roman"/>
          <w:bCs/>
          <w:i/>
          <w:iCs/>
        </w:rPr>
        <w:t>Henry VI, Part 1</w:t>
      </w:r>
      <w:r w:rsidRPr="00DD343F">
        <w:rPr>
          <w:rFonts w:ascii="Times New Roman" w:hAnsi="Times New Roman" w:cs="Times New Roman"/>
          <w:bCs/>
        </w:rPr>
        <w:t>, the abuse and (re)use of paper meant to represent legal documents emphasize how pliable the laws, promises, charges, and rights of succession inscribed therein could be, particularly during the Wars of the Roses.</w:t>
      </w:r>
      <w:r w:rsidRPr="00DD343F">
        <w:rPr>
          <w:rStyle w:val="EndnoteReference"/>
          <w:rFonts w:cs="Times New Roman"/>
          <w:bCs/>
        </w:rPr>
        <w:endnoteReference w:id="28"/>
      </w:r>
      <w:r w:rsidRPr="00DD343F">
        <w:rPr>
          <w:rFonts w:ascii="Times New Roman" w:hAnsi="Times New Roman" w:cs="Times New Roman"/>
          <w:bCs/>
        </w:rPr>
        <w:t xml:space="preserve"> </w:t>
      </w:r>
    </w:p>
    <w:p w14:paraId="0DD1EB29"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Books were another important paper prop in the theatre. Shakespeare’s plays call for physical copies of Ovid’s </w:t>
      </w:r>
      <w:r w:rsidRPr="00DD343F">
        <w:rPr>
          <w:rFonts w:ascii="Times New Roman" w:hAnsi="Times New Roman" w:cs="Times New Roman"/>
          <w:bCs/>
          <w:i/>
          <w:iCs/>
        </w:rPr>
        <w:t>Metamorphoses</w:t>
      </w:r>
      <w:r w:rsidRPr="00DD343F">
        <w:rPr>
          <w:rFonts w:ascii="Times New Roman" w:hAnsi="Times New Roman" w:cs="Times New Roman"/>
          <w:bCs/>
        </w:rPr>
        <w:t>, the Bible, prayer books, table-books, and a “small packet of Greek and Latin books,” to name but a few.</w:t>
      </w:r>
      <w:r w:rsidRPr="00DD343F">
        <w:rPr>
          <w:rStyle w:val="EndnoteReference"/>
          <w:rFonts w:cs="Times New Roman"/>
          <w:bCs/>
        </w:rPr>
        <w:endnoteReference w:id="29"/>
      </w:r>
      <w:r w:rsidRPr="00DD343F">
        <w:rPr>
          <w:rFonts w:ascii="Times New Roman" w:hAnsi="Times New Roman" w:cs="Times New Roman"/>
          <w:bCs/>
        </w:rPr>
        <w:t xml:space="preserve"> Again, there tends to be a concern about the ability of these written texts to unambiguously convey meaning. Characters are frequently seen reading, be it the vague “words, words, words” Hamlet peruses, or the (unknown) book carefully chosen in an attempt to make Ophelia appear more pious—or occupied—when Polonius stages her for the encounter with Hamlet. As with letters, both the books’ contents and their material form take on symbolic significance, even if their titles and contents remain unspecified. In some cases, the contents of the books in question are critical. For example, </w:t>
      </w:r>
      <w:r w:rsidRPr="00DD343F">
        <w:rPr>
          <w:rFonts w:ascii="Times New Roman" w:hAnsi="Times New Roman" w:cs="Times New Roman"/>
          <w:bCs/>
        </w:rPr>
        <w:lastRenderedPageBreak/>
        <w:t>Imogen tells her lady to “fold down the leaf” of her book to mark her place, thus allowing for Iachimo’s observation: “She hath been reading late / The tale of Tereus.”</w:t>
      </w:r>
      <w:r w:rsidRPr="00DD343F">
        <w:rPr>
          <w:rStyle w:val="EndnoteReference"/>
          <w:rFonts w:cs="Times New Roman"/>
          <w:bCs/>
        </w:rPr>
        <w:endnoteReference w:id="30"/>
      </w:r>
      <w:r w:rsidRPr="00DD343F">
        <w:rPr>
          <w:rFonts w:ascii="Times New Roman" w:hAnsi="Times New Roman" w:cs="Times New Roman"/>
          <w:bCs/>
        </w:rPr>
        <w:t xml:space="preserve"> It is an intertextual reference designed to plant the threat of rape in the reader/audience’s mind: “[H]ere the </w:t>
      </w:r>
      <w:r w:rsidRPr="00DD343F">
        <w:rPr>
          <w:rFonts w:ascii="Times New Roman" w:hAnsi="Times New Roman" w:cs="Times New Roman"/>
        </w:rPr>
        <w:t>leaf’s</w:t>
      </w:r>
      <w:r w:rsidRPr="00DD343F">
        <w:rPr>
          <w:rFonts w:ascii="Times New Roman" w:hAnsi="Times New Roman" w:cs="Times New Roman"/>
          <w:bCs/>
        </w:rPr>
        <w:t> turn’d down / Where Philomel gave up.”</w:t>
      </w:r>
      <w:r w:rsidRPr="00DD343F">
        <w:rPr>
          <w:rStyle w:val="EndnoteReference"/>
          <w:rFonts w:cs="Times New Roman"/>
          <w:bCs/>
        </w:rPr>
        <w:endnoteReference w:id="31"/>
      </w:r>
      <w:r w:rsidRPr="00DD343F">
        <w:rPr>
          <w:rFonts w:ascii="Times New Roman" w:hAnsi="Times New Roman" w:cs="Times New Roman"/>
          <w:bCs/>
        </w:rPr>
        <w:t xml:space="preserve">  In perhaps the most striking uses of a book-prop, Lavinia, having been offered the “choice of all [Titus’] library,” busily “turns the leaves” of Ovid’s </w:t>
      </w:r>
      <w:r w:rsidRPr="00DD343F">
        <w:rPr>
          <w:rFonts w:ascii="Times New Roman" w:hAnsi="Times New Roman" w:cs="Times New Roman"/>
          <w:bCs/>
          <w:i/>
          <w:iCs/>
        </w:rPr>
        <w:t>Metamorphoses</w:t>
      </w:r>
      <w:r w:rsidRPr="00DD343F">
        <w:rPr>
          <w:rFonts w:ascii="Times New Roman" w:hAnsi="Times New Roman" w:cs="Times New Roman"/>
          <w:bCs/>
        </w:rPr>
        <w:t xml:space="preserve"> until she arrives at “the tragic tale of Philomel [and] of Tereus’ treason and his rape.”</w:t>
      </w:r>
      <w:r w:rsidRPr="00DD343F">
        <w:rPr>
          <w:rFonts w:ascii="Times New Roman" w:hAnsi="Times New Roman" w:cs="Times New Roman"/>
          <w:bCs/>
          <w:vertAlign w:val="superscript"/>
        </w:rPr>
        <w:endnoteReference w:id="32"/>
      </w:r>
      <w:r w:rsidRPr="00DD343F">
        <w:rPr>
          <w:rFonts w:ascii="Times New Roman" w:hAnsi="Times New Roman" w:cs="Times New Roman"/>
          <w:bCs/>
        </w:rPr>
        <w:t xml:space="preserve"> Unable to speak, with her “[</w:t>
      </w:r>
      <w:r w:rsidRPr="00DD343F">
        <w:rPr>
          <w:rFonts w:ascii="Times New Roman" w:hAnsi="Times New Roman" w:cs="Times New Roman"/>
          <w:bCs/>
          <w:i/>
          <w:iCs/>
        </w:rPr>
        <w:t>hands cut off and her tongue cut out</w:t>
      </w:r>
      <w:r w:rsidRPr="00DD343F">
        <w:rPr>
          <w:rFonts w:ascii="Times New Roman" w:hAnsi="Times New Roman" w:cs="Times New Roman"/>
          <w:bCs/>
        </w:rPr>
        <w:t>],”</w:t>
      </w:r>
      <w:r w:rsidRPr="00DD343F">
        <w:rPr>
          <w:rStyle w:val="EndnoteReference"/>
          <w:rFonts w:cs="Times New Roman"/>
          <w:bCs/>
        </w:rPr>
        <w:endnoteReference w:id="33"/>
      </w:r>
      <w:r w:rsidRPr="00DD343F">
        <w:rPr>
          <w:rFonts w:ascii="Times New Roman" w:hAnsi="Times New Roman" w:cs="Times New Roman"/>
          <w:bCs/>
        </w:rPr>
        <w:t xml:space="preserve"> the printed leaves allow Lavinia to communicate her rape but, as with the example of Lucrece, her recourse to indirect communication via paper ultimately leaves her at the mercy of male “interpret[ations],” readings (and re-tellings) of the story she intends to communicate.</w:t>
      </w:r>
      <w:r w:rsidRPr="00DD343F">
        <w:rPr>
          <w:rStyle w:val="EndnoteReference"/>
          <w:rFonts w:cs="Times New Roman"/>
          <w:bCs/>
        </w:rPr>
        <w:endnoteReference w:id="34"/>
      </w:r>
      <w:r w:rsidRPr="00DD343F">
        <w:rPr>
          <w:rFonts w:ascii="Times New Roman" w:hAnsi="Times New Roman" w:cs="Times New Roman"/>
          <w:bCs/>
        </w:rPr>
        <w:t xml:space="preserve"> </w:t>
      </w:r>
      <w:r w:rsidRPr="00DD343F">
        <w:rPr>
          <w:rFonts w:ascii="Times New Roman" w:hAnsi="Times New Roman" w:cs="Times New Roman"/>
          <w:bCs/>
        </w:rPr>
        <w:tab/>
      </w:r>
      <w:r w:rsidRPr="00DD343F">
        <w:rPr>
          <w:rFonts w:ascii="Times New Roman" w:hAnsi="Times New Roman" w:cs="Times New Roman"/>
          <w:bCs/>
        </w:rPr>
        <w:tab/>
      </w:r>
    </w:p>
    <w:p w14:paraId="49372AEF" w14:textId="77777777" w:rsidR="00CA54B4" w:rsidRPr="00DD343F" w:rsidRDefault="00CA54B4" w:rsidP="00CA54B4">
      <w:pPr>
        <w:spacing w:line="480" w:lineRule="auto"/>
        <w:rPr>
          <w:rFonts w:ascii="Times New Roman" w:hAnsi="Times New Roman" w:cs="Times New Roman"/>
          <w:bCs/>
        </w:rPr>
      </w:pPr>
    </w:p>
    <w:p w14:paraId="6476DEA6" w14:textId="77777777" w:rsidR="00CA54B4" w:rsidRPr="00DD343F" w:rsidRDefault="00CA54B4" w:rsidP="00CA54B4">
      <w:pPr>
        <w:spacing w:line="480" w:lineRule="auto"/>
        <w:rPr>
          <w:rFonts w:ascii="Times New Roman" w:hAnsi="Times New Roman" w:cs="Times New Roman"/>
          <w:b/>
        </w:rPr>
      </w:pPr>
      <w:r w:rsidRPr="00DD343F">
        <w:rPr>
          <w:rFonts w:ascii="Times New Roman" w:hAnsi="Times New Roman" w:cs="Times New Roman"/>
          <w:b/>
        </w:rPr>
        <w:t>Shakespeare &amp; the Materiality of Ink</w:t>
      </w:r>
    </w:p>
    <w:p w14:paraId="3F487F9D" w14:textId="77777777"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bCs/>
        </w:rPr>
        <w:t>In several instances, Shakespeare shows a keen awareness of ink’s material properties. When the speaker of Sonnet 111 entertains the idea of drinking ink “like a willing patient,” he says he will drink “the potions of easel”—a vinegar-like substance used to dilute ink—in an attempt to dilute his own love.</w:t>
      </w:r>
      <w:r w:rsidRPr="00DD343F">
        <w:rPr>
          <w:rStyle w:val="EndnoteReference"/>
          <w:rFonts w:cs="Times New Roman"/>
          <w:bCs/>
        </w:rPr>
        <w:endnoteReference w:id="35"/>
      </w:r>
      <w:r w:rsidRPr="00DD343F">
        <w:rPr>
          <w:rFonts w:ascii="Times New Roman" w:hAnsi="Times New Roman" w:cs="Times New Roman"/>
          <w:bCs/>
        </w:rPr>
        <w:t xml:space="preserve"> A counterexample is found in </w:t>
      </w:r>
      <w:r w:rsidRPr="00DD343F">
        <w:rPr>
          <w:rFonts w:ascii="Times New Roman" w:hAnsi="Times New Roman" w:cs="Times New Roman"/>
          <w:bCs/>
          <w:i/>
          <w:iCs/>
        </w:rPr>
        <w:t>Cymbeline</w:t>
      </w:r>
      <w:r w:rsidRPr="00DD343F">
        <w:rPr>
          <w:rFonts w:ascii="Times New Roman" w:hAnsi="Times New Roman" w:cs="Times New Roman"/>
          <w:bCs/>
        </w:rPr>
        <w:t>, when Posthumus tells Imogen to write to him in Rome so that he can “drink the words [she] sends” with his eyes, presumably to indulge his love for her, even “though ink be made of gall.” The reference here is to the primary ingredient used to make ink and the fact that it will be sweet, but also bitter (like gall / bile), to be connected to her through writing alone.</w:t>
      </w:r>
      <w:r w:rsidRPr="00DD343F">
        <w:rPr>
          <w:rStyle w:val="EndnoteReference"/>
          <w:rFonts w:cs="Times New Roman"/>
          <w:bCs/>
        </w:rPr>
        <w:endnoteReference w:id="36"/>
      </w:r>
      <w:r w:rsidRPr="00DD343F">
        <w:rPr>
          <w:rFonts w:ascii="Times New Roman" w:hAnsi="Times New Roman" w:cs="Times New Roman"/>
          <w:bCs/>
        </w:rPr>
        <w:t xml:space="preserve"> Iron-gall ink, the kind of ink used for handwriting, came into use in the early medieval period and was made from a “mixture of oak-galls and copperas, and iron sulphate, and gum arabic used as a binding agent.”</w:t>
      </w:r>
      <w:r w:rsidRPr="00DD343F">
        <w:rPr>
          <w:rStyle w:val="EndnoteReference"/>
          <w:rFonts w:cs="Times New Roman"/>
          <w:bCs/>
        </w:rPr>
        <w:endnoteReference w:id="37"/>
      </w:r>
      <w:r w:rsidRPr="00DD343F">
        <w:rPr>
          <w:rFonts w:ascii="Times New Roman" w:hAnsi="Times New Roman" w:cs="Times New Roman"/>
          <w:bCs/>
        </w:rPr>
        <w:t xml:space="preserve"> Printer’s ink was instead oil-based as it needed to be tacky in order to adhere to pieces of type as they bit into dampened </w:t>
      </w:r>
      <w:r w:rsidRPr="00DD343F">
        <w:rPr>
          <w:rFonts w:ascii="Times New Roman" w:hAnsi="Times New Roman" w:cs="Times New Roman"/>
          <w:bCs/>
        </w:rPr>
        <w:lastRenderedPageBreak/>
        <w:t>paper on the printing press. Writing ink could be purchased or made at home and could be diluted to the user’s preference using vinegar and other thinning agents.</w:t>
      </w:r>
      <w:r w:rsidRPr="00DD343F">
        <w:rPr>
          <w:rStyle w:val="EndnoteReference"/>
          <w:rFonts w:cs="Times New Roman"/>
          <w:bCs/>
        </w:rPr>
        <w:endnoteReference w:id="38"/>
      </w:r>
      <w:r w:rsidRPr="00DD343F">
        <w:rPr>
          <w:rFonts w:ascii="Times New Roman" w:hAnsi="Times New Roman" w:cs="Times New Roman"/>
          <w:bCs/>
        </w:rPr>
        <w:t xml:space="preserve"> Ink’s prevalence in early modern homes is attested to by surviving receipts for both “ink” and for “stuffe to make ynkee” and by the numerous recipes recorded in advice and conduct books; as James Daybell notes, learning to write and learning to make ink went hand in hand, and it is likely that Shakespeare made his own ink, a supposition supported by the fact that ink does not feature as an expense (for any playwright) in Philip Henslowe’s “diary,” that is, in the accounts that Henslowe kept of his business managing theatrical commerce in the 1590s.</w:t>
      </w:r>
      <w:r w:rsidRPr="00DD343F">
        <w:rPr>
          <w:rStyle w:val="EndnoteReference"/>
          <w:rFonts w:cs="Times New Roman"/>
          <w:bCs/>
        </w:rPr>
        <w:endnoteReference w:id="39"/>
      </w:r>
      <w:r w:rsidRPr="00DD343F">
        <w:rPr>
          <w:rFonts w:ascii="Times New Roman" w:hAnsi="Times New Roman" w:cs="Times New Roman"/>
          <w:bCs/>
        </w:rPr>
        <w:t xml:space="preserve"> As with the figurative conflation of paper sheets and bed sheets, puns on the bitterness of gall or bile and oak-galls appear several times in Shakespeare’s works. For example, in </w:t>
      </w:r>
      <w:r w:rsidRPr="00DD343F">
        <w:rPr>
          <w:rFonts w:ascii="Times New Roman" w:hAnsi="Times New Roman" w:cs="Times New Roman"/>
          <w:bCs/>
          <w:i/>
          <w:iCs/>
        </w:rPr>
        <w:t>Twelfth Night</w:t>
      </w:r>
      <w:r w:rsidRPr="00DD343F">
        <w:rPr>
          <w:rFonts w:ascii="Times New Roman" w:hAnsi="Times New Roman" w:cs="Times New Roman"/>
          <w:bCs/>
        </w:rPr>
        <w:t>, Sir Toby hopes that Sir Andrew has “gall enough in [his] ink” to “taunt” Malvolio, and bids him use “as many lies as will lie in [his] sheet of paper, although the sheet were big enough for the bed of Ware in England.”</w:t>
      </w:r>
      <w:r w:rsidRPr="00DD343F">
        <w:rPr>
          <w:rStyle w:val="EndnoteReference"/>
          <w:rFonts w:cs="Times New Roman"/>
          <w:bCs/>
        </w:rPr>
        <w:endnoteReference w:id="40"/>
      </w:r>
      <w:r w:rsidRPr="00DD343F">
        <w:rPr>
          <w:rFonts w:ascii="Times New Roman" w:hAnsi="Times New Roman" w:cs="Times New Roman"/>
          <w:bCs/>
        </w:rPr>
        <w:t xml:space="preserve"> Once again, there is no gap at all between the material object and the content it produces or transmits. </w:t>
      </w:r>
    </w:p>
    <w:p w14:paraId="5B5486CC" w14:textId="5551B7F5"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Paper, ink, and the accoutrements associated with writing are shown as having the potential to physically injure in the same way that written words could cause harm. For example, inkhorns—“portable vessels used to carry writing-ink”—are also equated with physical punishment for pedantry in </w:t>
      </w:r>
      <w:r w:rsidRPr="00DD343F">
        <w:rPr>
          <w:rFonts w:ascii="Times New Roman" w:hAnsi="Times New Roman" w:cs="Times New Roman"/>
          <w:bCs/>
          <w:i/>
          <w:iCs/>
        </w:rPr>
        <w:t>Henry VI, Part 2</w:t>
      </w:r>
      <w:r w:rsidRPr="00DD343F">
        <w:rPr>
          <w:rFonts w:ascii="Times New Roman" w:hAnsi="Times New Roman" w:cs="Times New Roman"/>
          <w:bCs/>
        </w:rPr>
        <w:t>.</w:t>
      </w:r>
      <w:r w:rsidRPr="00DD343F">
        <w:rPr>
          <w:rStyle w:val="EndnoteReference"/>
          <w:rFonts w:cs="Times New Roman"/>
          <w:bCs/>
        </w:rPr>
        <w:endnoteReference w:id="41"/>
      </w:r>
      <w:r w:rsidRPr="00DD343F">
        <w:rPr>
          <w:rFonts w:ascii="Times New Roman" w:hAnsi="Times New Roman" w:cs="Times New Roman"/>
          <w:bCs/>
        </w:rPr>
        <w:t xml:space="preserve"> When the Cade rebellion have Emmanuel hanged because he can read and write, they specify that he should be hanged “with his pen and ink-horn about his neck.”</w:t>
      </w:r>
      <w:r w:rsidRPr="00DD343F">
        <w:rPr>
          <w:rStyle w:val="EndnoteReference"/>
          <w:rFonts w:cs="Times New Roman"/>
          <w:bCs/>
        </w:rPr>
        <w:endnoteReference w:id="42"/>
      </w:r>
      <w:r w:rsidRPr="00DD343F">
        <w:rPr>
          <w:rFonts w:ascii="Times New Roman" w:hAnsi="Times New Roman" w:cs="Times New Roman"/>
          <w:bCs/>
        </w:rPr>
        <w:t xml:space="preserve"> These objects are the implements that symbolize the Clerk’s literacy (that is, the things which figuratively cause his death), but there is also a nod here to the material rope that joined pens to inkwells. Is he to be hanged whilst the pen and inkhorn remain around his neck in addition to the noose, or is the rope linking pen and ink to be used as a noose? Either </w:t>
      </w:r>
      <w:r w:rsidRPr="00DD343F">
        <w:rPr>
          <w:rFonts w:ascii="Times New Roman" w:hAnsi="Times New Roman" w:cs="Times New Roman"/>
          <w:bCs/>
        </w:rPr>
        <w:lastRenderedPageBreak/>
        <w:t xml:space="preserve">way, the allusion to the material inkhorn appears to provide an ironic reversal of the neck verse in which one might save their neck (from the hangman’s noose) by displaying an ability to read and write Latin (and thus claim the benefit of clergy), whilst </w:t>
      </w:r>
      <w:r w:rsidR="00146C1C" w:rsidRPr="00DD343F">
        <w:rPr>
          <w:rFonts w:ascii="Times New Roman" w:hAnsi="Times New Roman" w:cs="Times New Roman"/>
          <w:bCs/>
        </w:rPr>
        <w:t>signaling</w:t>
      </w:r>
      <w:r w:rsidRPr="00DD343F">
        <w:rPr>
          <w:rFonts w:ascii="Times New Roman" w:hAnsi="Times New Roman" w:cs="Times New Roman"/>
          <w:bCs/>
        </w:rPr>
        <w:t xml:space="preserve"> the fact that, by the late sixteenth century, inkhorns had become by-words for pedantry—specifically for the ostentatious use of Latin and Greek words.  </w:t>
      </w:r>
    </w:p>
    <w:p w14:paraId="54C41501" w14:textId="32DAA33E"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At several moments, paper and ink are </w:t>
      </w:r>
      <w:r w:rsidR="005612F8">
        <w:rPr>
          <w:rFonts w:ascii="Times New Roman" w:hAnsi="Times New Roman" w:cs="Times New Roman"/>
          <w:bCs/>
        </w:rPr>
        <w:t>described as weapons</w:t>
      </w:r>
      <w:r w:rsidRPr="00DD343F">
        <w:rPr>
          <w:rFonts w:ascii="Times New Roman" w:hAnsi="Times New Roman" w:cs="Times New Roman"/>
          <w:bCs/>
        </w:rPr>
        <w:t xml:space="preserve">. In </w:t>
      </w:r>
      <w:r w:rsidRPr="00DD343F">
        <w:rPr>
          <w:rFonts w:ascii="Times New Roman" w:hAnsi="Times New Roman" w:cs="Times New Roman"/>
          <w:bCs/>
          <w:i/>
        </w:rPr>
        <w:t>Much Ado</w:t>
      </w:r>
      <w:r w:rsidRPr="00DD343F">
        <w:rPr>
          <w:rFonts w:ascii="Times New Roman" w:hAnsi="Times New Roman" w:cs="Times New Roman"/>
          <w:bCs/>
        </w:rPr>
        <w:t xml:space="preserve"> Benedick speaks of “paper bullets of the brain,” whilst in </w:t>
      </w:r>
      <w:r w:rsidRPr="00DD343F">
        <w:rPr>
          <w:rFonts w:ascii="Times New Roman" w:hAnsi="Times New Roman" w:cs="Times New Roman"/>
          <w:bCs/>
          <w:i/>
        </w:rPr>
        <w:t>King Lear</w:t>
      </w:r>
      <w:r w:rsidRPr="00DD343F">
        <w:rPr>
          <w:rFonts w:ascii="Times New Roman" w:hAnsi="Times New Roman" w:cs="Times New Roman"/>
          <w:bCs/>
        </w:rPr>
        <w:t xml:space="preserve"> Albany threatens to physically smother Goneril with paper whilst simultaneously implying that the letter’s contents will silence her through exposure: “Shut your mouth, dame, / Or with this paper shall I stop it.”</w:t>
      </w:r>
      <w:r w:rsidRPr="00DD343F">
        <w:rPr>
          <w:rStyle w:val="EndnoteReference"/>
          <w:rFonts w:cs="Times New Roman"/>
          <w:bCs/>
        </w:rPr>
        <w:endnoteReference w:id="43"/>
      </w:r>
      <w:r w:rsidRPr="00DD343F">
        <w:rPr>
          <w:rFonts w:ascii="Times New Roman" w:hAnsi="Times New Roman" w:cs="Times New Roman"/>
          <w:bCs/>
        </w:rPr>
        <w:t xml:space="preserve"> The homograph in his order “no tearing, lady!” also allows for either performative tears of regret, or an attempt to rip the paper to destroy the evidence against her. This link between the threatening form and contents of paper is particularly evident in </w:t>
      </w:r>
      <w:r w:rsidRPr="00DD343F">
        <w:rPr>
          <w:rFonts w:ascii="Times New Roman" w:hAnsi="Times New Roman" w:cs="Times New Roman"/>
          <w:bCs/>
          <w:i/>
        </w:rPr>
        <w:t>Cymbeline</w:t>
      </w:r>
      <w:r w:rsidRPr="00DD343F">
        <w:rPr>
          <w:rFonts w:ascii="Times New Roman" w:hAnsi="Times New Roman" w:cs="Times New Roman"/>
          <w:bCs/>
        </w:rPr>
        <w:t>, when Pisanio reads Leonatus’ letter asking him to kill Imogen. Pisanio exclaims:</w:t>
      </w:r>
    </w:p>
    <w:p w14:paraId="0166997D" w14:textId="77777777" w:rsidR="00CA54B4" w:rsidRPr="00DD343F" w:rsidRDefault="00CA54B4" w:rsidP="00CA54B4">
      <w:pPr>
        <w:spacing w:line="480" w:lineRule="auto"/>
        <w:ind w:firstLine="708"/>
        <w:rPr>
          <w:rFonts w:ascii="Times New Roman" w:hAnsi="Times New Roman" w:cs="Times New Roman"/>
          <w:bCs/>
        </w:rPr>
      </w:pPr>
    </w:p>
    <w:p w14:paraId="581B06E2"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O damn’d paper!</w:t>
      </w:r>
    </w:p>
    <w:p w14:paraId="1FE3E7F8"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Black as the ink that’s on thee! Senseless bauble.</w:t>
      </w:r>
    </w:p>
    <w:p w14:paraId="0546C833"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Art thou a feodary for this act, and look’st </w:t>
      </w:r>
    </w:p>
    <w:p w14:paraId="077AFB5C"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So virgin-like without?</w:t>
      </w:r>
      <w:r w:rsidRPr="00DD343F">
        <w:rPr>
          <w:rStyle w:val="EndnoteReference"/>
          <w:rFonts w:cs="Times New Roman"/>
          <w:bCs/>
        </w:rPr>
        <w:endnoteReference w:id="44"/>
      </w:r>
    </w:p>
    <w:p w14:paraId="1409C00E" w14:textId="77777777" w:rsidR="00CA54B4" w:rsidRPr="00DD343F" w:rsidRDefault="00CA54B4" w:rsidP="00CA54B4">
      <w:pPr>
        <w:spacing w:line="480" w:lineRule="auto"/>
        <w:ind w:firstLine="708"/>
        <w:rPr>
          <w:rFonts w:ascii="Times New Roman" w:hAnsi="Times New Roman" w:cs="Times New Roman"/>
          <w:bCs/>
        </w:rPr>
      </w:pPr>
    </w:p>
    <w:p w14:paraId="5519A570" w14:textId="77777777"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bCs/>
        </w:rPr>
        <w:t xml:space="preserve">As Valerie Wayne notes, feodary means “a feudal tenant,” but “Shakespeare, by false association with Latin </w:t>
      </w:r>
      <w:r w:rsidRPr="00DD343F">
        <w:rPr>
          <w:rFonts w:ascii="Times New Roman" w:hAnsi="Times New Roman" w:cs="Times New Roman"/>
          <w:bCs/>
          <w:i/>
          <w:iCs/>
        </w:rPr>
        <w:t>Foedus</w:t>
      </w:r>
      <w:r w:rsidRPr="00DD343F">
        <w:rPr>
          <w:rFonts w:ascii="Times New Roman" w:hAnsi="Times New Roman" w:cs="Times New Roman"/>
          <w:bCs/>
        </w:rPr>
        <w:t>, uses it in the sense of ‘accomplice’.”</w:t>
      </w:r>
      <w:r w:rsidRPr="00DD343F">
        <w:rPr>
          <w:rStyle w:val="EndnoteReference"/>
          <w:rFonts w:cs="Times New Roman"/>
          <w:bCs/>
        </w:rPr>
        <w:endnoteReference w:id="45"/>
      </w:r>
      <w:r w:rsidRPr="00DD343F">
        <w:rPr>
          <w:rFonts w:ascii="Times New Roman" w:hAnsi="Times New Roman" w:cs="Times New Roman"/>
          <w:bCs/>
        </w:rPr>
        <w:t xml:space="preserve"> Pisanio thus personifies the letter as a homicidal accomplice disguised as an innocent “virgin” (again, a clear reference to the light color of writing paper). This is continued in 3.4 when Pisanio asks, “[W]hat shall I need to draw </w:t>
      </w:r>
      <w:r w:rsidRPr="00DD343F">
        <w:rPr>
          <w:rFonts w:ascii="Times New Roman" w:hAnsi="Times New Roman" w:cs="Times New Roman"/>
          <w:bCs/>
        </w:rPr>
        <w:lastRenderedPageBreak/>
        <w:t>my sword? The paper / Hath cut her throat already,” thus merging the inked death wish with paper’s ability to nick human skin.</w:t>
      </w:r>
      <w:r w:rsidRPr="00DD343F">
        <w:rPr>
          <w:rStyle w:val="EndnoteReference"/>
          <w:rFonts w:cs="Times New Roman"/>
          <w:bCs/>
        </w:rPr>
        <w:endnoteReference w:id="46"/>
      </w:r>
      <w:r w:rsidRPr="00DD343F">
        <w:rPr>
          <w:rFonts w:ascii="Times New Roman" w:hAnsi="Times New Roman" w:cs="Times New Roman"/>
          <w:bCs/>
        </w:rPr>
        <w:t xml:space="preserve"> </w:t>
      </w:r>
    </w:p>
    <w:p w14:paraId="53EC970C"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Alternate threats are conveyed when characters are themselves likened to paper, as when Henry V asks his men “[W]hat see you in those papers that you lose / So much complexion?” before he exclaims, “Look ye, how they change! / Their cheeks are paper … what read you there / That hath so cowarded and chased your blood / Out of appearance?”</w:t>
      </w:r>
      <w:r w:rsidRPr="00DD343F">
        <w:rPr>
          <w:rStyle w:val="EndnoteReference"/>
          <w:rFonts w:cs="Times New Roman"/>
          <w:bCs/>
        </w:rPr>
        <w:endnoteReference w:id="47"/>
      </w:r>
      <w:r w:rsidRPr="00DD343F">
        <w:rPr>
          <w:rFonts w:ascii="Times New Roman" w:hAnsi="Times New Roman" w:cs="Times New Roman"/>
          <w:bCs/>
        </w:rPr>
        <w:t xml:space="preserve"> Likewise, in </w:t>
      </w:r>
      <w:r w:rsidRPr="00DD343F">
        <w:rPr>
          <w:rFonts w:ascii="Times New Roman" w:hAnsi="Times New Roman" w:cs="Times New Roman"/>
          <w:bCs/>
          <w:i/>
        </w:rPr>
        <w:t>The Merchant of Venice</w:t>
      </w:r>
      <w:r w:rsidRPr="00DD343F">
        <w:rPr>
          <w:rFonts w:ascii="Times New Roman" w:hAnsi="Times New Roman" w:cs="Times New Roman"/>
          <w:bCs/>
        </w:rPr>
        <w:t>, Portia speaks of the contents of “yon same paper … stealing the colour from Bassanio’s cheek” to render him as white as paper; and the letter that informs Bassiano that all of Antonio’s ventures have failed is described as “the body of [his] friend, / And every word in it a gaping wound, / Issuing life blood,” as if Antonio were made of paper to be opened up and exposed to ruin by the impress of a quill and ink.</w:t>
      </w:r>
      <w:r w:rsidRPr="00DD343F">
        <w:rPr>
          <w:rStyle w:val="EndnoteReference"/>
          <w:rFonts w:cs="Times New Roman"/>
          <w:bCs/>
        </w:rPr>
        <w:endnoteReference w:id="48"/>
      </w:r>
      <w:r w:rsidRPr="00DD343F">
        <w:rPr>
          <w:rFonts w:ascii="Times New Roman" w:hAnsi="Times New Roman" w:cs="Times New Roman"/>
          <w:bCs/>
        </w:rPr>
        <w:t xml:space="preserve"> These comparisons go beyond basic personification, aligning characters and the frailty of their bodies or reputations with the ephemerality, or the blanching, of paper and the perceived stain of ink. </w:t>
      </w:r>
    </w:p>
    <w:p w14:paraId="366B8DA3" w14:textId="311A097A"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I have thus far suggested that Shakespeare’s plays and poems show a keen awareness of the materiality and signifying power of paper and ink; and that Shakespeare uses this knowledge (and its connotations) to create tension, arouse suspicion, and index characters’ behavior as moral or immoral within his fictional worlds. The use of paper and ink as props as well as their evocation to describe bodies and behaviors in certain dramatic scenarios consistently raise concerns over the legitimacy of written documents. In the final section of this chapter I wish to </w:t>
      </w:r>
      <w:r w:rsidR="005612F8">
        <w:rPr>
          <w:rFonts w:ascii="Times New Roman" w:hAnsi="Times New Roman" w:cs="Times New Roman"/>
          <w:bCs/>
        </w:rPr>
        <w:t xml:space="preserve">turn away from concerns </w:t>
      </w:r>
      <w:r w:rsidR="00A43107">
        <w:rPr>
          <w:rFonts w:ascii="Times New Roman" w:hAnsi="Times New Roman" w:cs="Times New Roman"/>
          <w:bCs/>
        </w:rPr>
        <w:t>over</w:t>
      </w:r>
      <w:r w:rsidR="005612F8">
        <w:rPr>
          <w:rFonts w:ascii="Times New Roman" w:hAnsi="Times New Roman" w:cs="Times New Roman"/>
          <w:bCs/>
        </w:rPr>
        <w:t xml:space="preserve"> the reliability of the written word towards</w:t>
      </w:r>
      <w:r w:rsidR="00A43107">
        <w:rPr>
          <w:rFonts w:ascii="Times New Roman" w:hAnsi="Times New Roman" w:cs="Times New Roman"/>
          <w:bCs/>
        </w:rPr>
        <w:t xml:space="preserve"> </w:t>
      </w:r>
      <w:r w:rsidRPr="00DD343F">
        <w:rPr>
          <w:rFonts w:ascii="Times New Roman" w:hAnsi="Times New Roman" w:cs="Times New Roman"/>
          <w:bCs/>
        </w:rPr>
        <w:t xml:space="preserve">secrets contained within and revealed by the paper and ink used to produce material copies of Shakespeare’s texts: the very legitimacy of the Shakespearean text itself. </w:t>
      </w:r>
    </w:p>
    <w:p w14:paraId="57257DBB" w14:textId="77777777" w:rsidR="00CA54B4" w:rsidRPr="00DD343F" w:rsidRDefault="00CA54B4" w:rsidP="00CA54B4">
      <w:pPr>
        <w:spacing w:line="480" w:lineRule="auto"/>
        <w:rPr>
          <w:rFonts w:ascii="Times New Roman" w:hAnsi="Times New Roman" w:cs="Times New Roman"/>
          <w:bCs/>
        </w:rPr>
      </w:pPr>
    </w:p>
    <w:p w14:paraId="54554EC4" w14:textId="77777777" w:rsidR="00CA54B4" w:rsidRPr="00DD343F" w:rsidRDefault="00CA54B4" w:rsidP="00CA54B4">
      <w:pPr>
        <w:spacing w:line="480" w:lineRule="auto"/>
        <w:rPr>
          <w:rFonts w:ascii="Times New Roman" w:hAnsi="Times New Roman" w:cs="Times New Roman"/>
          <w:b/>
        </w:rPr>
      </w:pPr>
      <w:r w:rsidRPr="00DD343F">
        <w:rPr>
          <w:rFonts w:ascii="Times New Roman" w:hAnsi="Times New Roman" w:cs="Times New Roman"/>
          <w:b/>
        </w:rPr>
        <w:lastRenderedPageBreak/>
        <w:t>‘In black ink my love may still shine bright’</w:t>
      </w:r>
      <w:r w:rsidRPr="00DD343F">
        <w:rPr>
          <w:rStyle w:val="EndnoteReference"/>
          <w:rFonts w:cs="Times New Roman"/>
          <w:bCs/>
        </w:rPr>
        <w:endnoteReference w:id="49"/>
      </w:r>
    </w:p>
    <w:p w14:paraId="67BB9B41" w14:textId="4EEA47FD" w:rsidR="00CA54B4" w:rsidRPr="00DD343F" w:rsidRDefault="00CA54B4" w:rsidP="00CA54B4">
      <w:pPr>
        <w:spacing w:line="480" w:lineRule="auto"/>
        <w:rPr>
          <w:rFonts w:ascii="Times New Roman" w:hAnsi="Times New Roman" w:cs="Times New Roman"/>
          <w:bCs/>
        </w:rPr>
      </w:pPr>
      <w:r w:rsidRPr="00DD343F">
        <w:rPr>
          <w:rFonts w:ascii="Times New Roman" w:hAnsi="Times New Roman" w:cs="Times New Roman"/>
          <w:bCs/>
        </w:rPr>
        <w:t>A desire, especially among book collectors, for what are known as “clean” copies of books has meant that traces of use and marginalia have been bleached or else cut from the leaves of early editions of Shakespeare.</w:t>
      </w:r>
      <w:r w:rsidRPr="00DD343F">
        <w:rPr>
          <w:rStyle w:val="EndnoteReference"/>
          <w:rFonts w:cs="Times New Roman"/>
          <w:bCs/>
        </w:rPr>
        <w:endnoteReference w:id="50"/>
      </w:r>
      <w:r w:rsidRPr="00DD343F">
        <w:rPr>
          <w:rFonts w:ascii="Times New Roman" w:hAnsi="Times New Roman" w:cs="Times New Roman"/>
          <w:bCs/>
        </w:rPr>
        <w:t xml:space="preserve"> The heyday of these forms of erasure was the nineteenth century, when Shakespeare editions were also frequently removed from composite volumes and rebound singly.</w:t>
      </w:r>
      <w:r w:rsidRPr="00DD343F">
        <w:rPr>
          <w:rStyle w:val="EndnoteReference"/>
          <w:rFonts w:cs="Times New Roman"/>
          <w:bCs/>
        </w:rPr>
        <w:endnoteReference w:id="51"/>
      </w:r>
      <w:r w:rsidRPr="00DD343F">
        <w:rPr>
          <w:rFonts w:ascii="Times New Roman" w:hAnsi="Times New Roman" w:cs="Times New Roman"/>
          <w:bCs/>
        </w:rPr>
        <w:t xml:space="preserve"> As Jeffrey Todd Knight has argued, these later practices, fuelled by a view of Shakespeare’s plays and poems as being of especial cultural value, destroyed much important information about the ways in which Shakespeare books were used, collected, preserved and </w:t>
      </w:r>
      <w:r w:rsidR="00777794" w:rsidRPr="00DD343F">
        <w:rPr>
          <w:rFonts w:ascii="Times New Roman" w:hAnsi="Times New Roman" w:cs="Times New Roman"/>
          <w:bCs/>
        </w:rPr>
        <w:t>organized</w:t>
      </w:r>
      <w:r w:rsidRPr="00DD343F">
        <w:rPr>
          <w:rFonts w:ascii="Times New Roman" w:hAnsi="Times New Roman" w:cs="Times New Roman"/>
          <w:bCs/>
        </w:rPr>
        <w:t xml:space="preserve"> in private libraries by early readers.</w:t>
      </w:r>
      <w:r w:rsidRPr="00DD343F">
        <w:rPr>
          <w:rStyle w:val="EndnoteReference"/>
          <w:rFonts w:cs="Times New Roman"/>
          <w:bCs/>
        </w:rPr>
        <w:endnoteReference w:id="52"/>
      </w:r>
      <w:r w:rsidRPr="00DD343F">
        <w:rPr>
          <w:rFonts w:ascii="Times New Roman" w:hAnsi="Times New Roman" w:cs="Times New Roman"/>
          <w:bCs/>
        </w:rPr>
        <w:t xml:space="preserve"> </w:t>
      </w:r>
    </w:p>
    <w:p w14:paraId="233FF597" w14:textId="0CD8975F"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Despite the washing and breaking of books, the material qualities of early modern paper and ink, coupled with the methods of material bibliography, enable us to see beyond what is evident to the naked eye. Early paper is neither glossy nor smooth. It is textured and may even be said to have its own topography; one side retains the indentations of the mould in which it was produced and the other side is smoother due to the piece of felt onto which it was pressed when it left the mould.</w:t>
      </w:r>
      <w:r w:rsidRPr="00DD343F">
        <w:rPr>
          <w:rStyle w:val="EndnoteReference"/>
          <w:rFonts w:cs="Times New Roman"/>
          <w:bCs/>
        </w:rPr>
        <w:endnoteReference w:id="53"/>
      </w:r>
      <w:r w:rsidRPr="00DD343F">
        <w:rPr>
          <w:rFonts w:ascii="Times New Roman" w:hAnsi="Times New Roman" w:cs="Times New Roman"/>
          <w:bCs/>
        </w:rPr>
        <w:t xml:space="preserve"> The indentations of pen marks sometimes sink deep into the paper, meaning that we can play with light and photography techniques to see seemingly unseen marginalia long after the ink has been washed away. Words bleached from paper can also be made visible by looking at individual leaves under ultraviolet light.</w:t>
      </w:r>
      <w:r w:rsidRPr="00DD343F">
        <w:rPr>
          <w:rStyle w:val="EndnoteReference"/>
          <w:rFonts w:cs="Times New Roman"/>
          <w:bCs/>
        </w:rPr>
        <w:endnoteReference w:id="54"/>
      </w:r>
      <w:r w:rsidRPr="00DD343F">
        <w:rPr>
          <w:rFonts w:ascii="Times New Roman" w:hAnsi="Times New Roman" w:cs="Times New Roman"/>
          <w:bCs/>
        </w:rPr>
        <w:t xml:space="preserve"> </w:t>
      </w:r>
    </w:p>
    <w:p w14:paraId="67BD67B0"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 xml:space="preserve">Equally, although many sammelbände have been dismantled, scholars such as Knight have been able to identify copies of books originally bound together by observing how the rich oil of printer’s ink has transferred between copies of books that were originally bound next to each other. These transfers, usually “ghostly” images of title-page text or dates found on the end leaves of distinct playbooks once bound and pressed together, are thought to come from “the oil </w:t>
      </w:r>
      <w:r w:rsidRPr="00DD343F">
        <w:rPr>
          <w:rFonts w:ascii="Times New Roman" w:hAnsi="Times New Roman" w:cs="Times New Roman"/>
          <w:bCs/>
        </w:rPr>
        <w:lastRenderedPageBreak/>
        <w:t>in ink or its acidity relative to a facing leaf.”</w:t>
      </w:r>
      <w:r w:rsidRPr="00DD343F">
        <w:rPr>
          <w:rStyle w:val="EndnoteReference"/>
          <w:rFonts w:cs="Times New Roman"/>
          <w:bCs/>
        </w:rPr>
        <w:endnoteReference w:id="55"/>
      </w:r>
      <w:r w:rsidRPr="00DD343F">
        <w:rPr>
          <w:rFonts w:ascii="Times New Roman" w:hAnsi="Times New Roman" w:cs="Times New Roman"/>
          <w:bCs/>
        </w:rPr>
        <w:t xml:space="preserve"> Similarly, Zachary Lesser has observed damage to paper and distinctions between printer’s ink and writing ink to note how dates have been scraped from the title pages of individual copies of playbooks and replaced with falsified facsimile dates, suggesting that the old lives of disbound volumes and the traces of clever forgeries are always haunting books in their new forms: they continue to come to light thanks to the peculiar material qualities of early paper and ink.</w:t>
      </w:r>
      <w:r w:rsidRPr="00DD343F">
        <w:rPr>
          <w:rStyle w:val="EndnoteReference"/>
          <w:rFonts w:cs="Times New Roman"/>
          <w:bCs/>
        </w:rPr>
        <w:endnoteReference w:id="56"/>
      </w:r>
      <w:r w:rsidRPr="00DD343F">
        <w:rPr>
          <w:rFonts w:ascii="Times New Roman" w:hAnsi="Times New Roman" w:cs="Times New Roman"/>
          <w:bCs/>
        </w:rPr>
        <w:t xml:space="preserve">  </w:t>
      </w:r>
    </w:p>
    <w:p w14:paraId="683FAFDD"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Some of the most exciting discoveries related to Shakespeare’s early reception have been made through examination of the paper on which his plays were printed. Every sheet of what is known as (handmade) laid paper is unique, meaning that “it is possible to assess the likelihood that two sheets were made from the same paper mould or pair of moulds by examining watermarks” along with the rest of the mould frame, both of which become visible as lighter patterns in the paper when examined with a light sheet.</w:t>
      </w:r>
      <w:r w:rsidRPr="00DD343F">
        <w:rPr>
          <w:rStyle w:val="EndnoteReference"/>
          <w:rFonts w:cs="Times New Roman"/>
          <w:bCs/>
        </w:rPr>
        <w:endnoteReference w:id="57"/>
      </w:r>
      <w:r w:rsidRPr="00DD343F">
        <w:rPr>
          <w:rFonts w:ascii="Times New Roman" w:hAnsi="Times New Roman" w:cs="Times New Roman"/>
          <w:bCs/>
        </w:rPr>
        <w:t xml:space="preserve"> By measuring the watermark position as well as the chainlines and wirelines transferred from the mould into the paper, bibliographers can produce measurements that come close to DNA fingerprints for individual stocks of paper. These measurements can then be used to date publications as moulds had an average lifespan of twelve months and watermarks only six months.</w:t>
      </w:r>
      <w:r w:rsidRPr="00DD343F">
        <w:rPr>
          <w:rStyle w:val="EndnoteReference"/>
          <w:rFonts w:cs="Times New Roman"/>
          <w:bCs/>
        </w:rPr>
        <w:endnoteReference w:id="58"/>
      </w:r>
      <w:r w:rsidRPr="00DD343F">
        <w:rPr>
          <w:rFonts w:ascii="Times New Roman" w:hAnsi="Times New Roman" w:cs="Times New Roman"/>
          <w:bCs/>
        </w:rPr>
        <w:t xml:space="preserve"> Paper evidence can also be used to identify the stationers who financed individual publications because publishers furnished printers with paper and, as it was an expensive and perishable commodity, they used it up quickly.</w:t>
      </w:r>
      <w:r w:rsidRPr="00DD343F">
        <w:rPr>
          <w:rStyle w:val="EndnoteReference"/>
          <w:rFonts w:cs="Times New Roman"/>
          <w:bCs/>
        </w:rPr>
        <w:endnoteReference w:id="59"/>
      </w:r>
      <w:r w:rsidRPr="00DD343F">
        <w:rPr>
          <w:rFonts w:ascii="Times New Roman" w:hAnsi="Times New Roman" w:cs="Times New Roman"/>
          <w:bCs/>
        </w:rPr>
        <w:t xml:space="preserve"> </w:t>
      </w:r>
    </w:p>
    <w:p w14:paraId="6E4AA4D2"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Paper evidence enabled the bibliographer W.W. Greg to demonstrate that, despite bearing dates of 1600, 1608 and 1619, the group of ten quarto plays known as the Pavier Quartos contained the same paper stocks and were thus all produced in 1619.</w:t>
      </w:r>
      <w:r w:rsidRPr="00DD343F">
        <w:rPr>
          <w:rStyle w:val="EndnoteReference"/>
          <w:rFonts w:cs="Times New Roman"/>
          <w:bCs/>
        </w:rPr>
        <w:endnoteReference w:id="60"/>
      </w:r>
      <w:r w:rsidRPr="00DD343F">
        <w:rPr>
          <w:rFonts w:ascii="Times New Roman" w:hAnsi="Times New Roman" w:cs="Times New Roman"/>
          <w:bCs/>
        </w:rPr>
        <w:t xml:space="preserve"> This observation about falsified dates and the cunning tactics of seventeenth-century stationers was an important revelation for literary scholars as the quartos were originally thought to be mere remainders, </w:t>
      </w:r>
      <w:r w:rsidRPr="00DD343F">
        <w:rPr>
          <w:rFonts w:ascii="Times New Roman" w:hAnsi="Times New Roman" w:cs="Times New Roman"/>
          <w:bCs/>
        </w:rPr>
        <w:lastRenderedPageBreak/>
        <w:t>which suggested that Shakespeare’s plays failed to sell. Greg’s evidence, coupled with Knight’s (later) use of ghost images to show that certain of the quartos were originally bound together, enabled scholars to instead speculate about the likelihood that the publishers made a concerted effort to produce a single-volume collection of Shakespeare plays before the First Folio of 1623. Any such project would be indicative of Shakespeare’s early rise to cultural prominence. Lesser’s forthcoming book promises to offer yet more discoveries about these quartos, with evidence of more Pavier “ghosts,” as well as indications of what stab-stitch holes (or a lack thereof) and rips in the title pages of the paper on which these plays were printed can tell us about different stationers’ roles in their production and the ways in which they were originally offered for sale.</w:t>
      </w:r>
      <w:r w:rsidRPr="00DD343F">
        <w:rPr>
          <w:rStyle w:val="EndnoteReference"/>
          <w:rFonts w:cs="Times New Roman"/>
          <w:bCs/>
        </w:rPr>
        <w:endnoteReference w:id="61"/>
      </w:r>
      <w:r w:rsidRPr="00DD343F">
        <w:rPr>
          <w:rFonts w:ascii="Times New Roman" w:hAnsi="Times New Roman" w:cs="Times New Roman"/>
          <w:bCs/>
        </w:rPr>
        <w:t xml:space="preserve">  </w:t>
      </w:r>
    </w:p>
    <w:p w14:paraId="40A20FF0" w14:textId="77777777" w:rsidR="00CA54B4" w:rsidRPr="00DD343F" w:rsidRDefault="00CA54B4" w:rsidP="00CA54B4">
      <w:pPr>
        <w:spacing w:line="480" w:lineRule="auto"/>
        <w:ind w:firstLine="708"/>
        <w:rPr>
          <w:rFonts w:ascii="Times New Roman" w:hAnsi="Times New Roman" w:cs="Times New Roman"/>
          <w:bCs/>
        </w:rPr>
      </w:pPr>
      <w:r w:rsidRPr="00DD343F">
        <w:rPr>
          <w:rFonts w:ascii="Times New Roman" w:hAnsi="Times New Roman" w:cs="Times New Roman"/>
          <w:bCs/>
        </w:rPr>
        <w:t>The methodologies and discoveries of the New Bibliography and subsequent generations of textual scholarship attest to the instability—even inscrutability—of textual artifacts made from paper and ink in early modern England. The representations of paper and ink in Shakespeare’s texts illustrate how important paper, ink, and written communication more generally, were to characters and to characterization. The plays, poems and physical books discussed in this chapter suggest that paper and ink have a paradoxical quality: they are both present and absent, they illuminate and deface, they permit access to characters’ inner feelings and to the past while simultaneously obscuring them. There was, in the early modern period, already an apparent wariness about material texts and the reliability of their contents, as well as the impact that their material presence—figuratively or literally—could have on stage or off. I hope the select examples discussed in this chapter have demonstrated a need to read ink and paper differently, both in the textual artifacts left to us and, by extension, in the plays and poems those objects transmit. If we “attend to the invisible,” as Knight suggests, then twenty-first-</w:t>
      </w:r>
      <w:r w:rsidRPr="00DD343F">
        <w:rPr>
          <w:rFonts w:ascii="Times New Roman" w:hAnsi="Times New Roman" w:cs="Times New Roman"/>
          <w:bCs/>
        </w:rPr>
        <w:lastRenderedPageBreak/>
        <w:t>century scholars can uncover a wealth of new information about the ways in which Shakespeare’s texts circulated across history whilst also exposing the power dynamics at play when</w:t>
      </w:r>
      <w:r w:rsidRPr="00DD343F">
        <w:rPr>
          <w:rFonts w:ascii="Times New Roman" w:hAnsi="Times New Roman" w:cs="Times New Roman"/>
        </w:rPr>
        <w:t xml:space="preserve"> </w:t>
      </w:r>
      <w:r w:rsidRPr="00DD343F">
        <w:rPr>
          <w:rFonts w:ascii="Times New Roman" w:hAnsi="Times New Roman" w:cs="Times New Roman"/>
          <w:bCs/>
        </w:rPr>
        <w:t>marginalized and silenced characters turn to paper and ink to tell their own stories in plays and poems that frequently stifle their voices.</w:t>
      </w:r>
    </w:p>
    <w:p w14:paraId="244A4993" w14:textId="77777777" w:rsidR="00CA54B4" w:rsidRPr="00DD343F" w:rsidRDefault="00CA54B4" w:rsidP="00CA54B4">
      <w:pPr>
        <w:spacing w:line="480" w:lineRule="auto"/>
        <w:rPr>
          <w:rFonts w:ascii="Times New Roman" w:hAnsi="Times New Roman" w:cs="Times New Roman"/>
          <w:b/>
        </w:rPr>
      </w:pPr>
    </w:p>
    <w:p w14:paraId="50F548A5" w14:textId="77777777" w:rsidR="00CA54B4" w:rsidRPr="00DD343F" w:rsidRDefault="00CA54B4" w:rsidP="00CA54B4">
      <w:pPr>
        <w:spacing w:line="480" w:lineRule="auto"/>
        <w:rPr>
          <w:rFonts w:ascii="Times New Roman" w:hAnsi="Times New Roman" w:cs="Times New Roman"/>
          <w:b/>
        </w:rPr>
      </w:pPr>
      <w:r w:rsidRPr="00DD343F">
        <w:rPr>
          <w:rFonts w:ascii="Times New Roman" w:hAnsi="Times New Roman" w:cs="Times New Roman"/>
          <w:b/>
        </w:rPr>
        <w:t>WORKS CITED</w:t>
      </w:r>
    </w:p>
    <w:p w14:paraId="6CF0BD47"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Astington, John H. “Going at the theatre: toilet facilities in the early playhouses.” </w:t>
      </w:r>
      <w:r w:rsidRPr="00DD343F">
        <w:rPr>
          <w:rFonts w:ascii="Times New Roman" w:hAnsi="Times New Roman" w:cs="Times New Roman"/>
          <w:i/>
          <w:iCs/>
          <w:sz w:val="24"/>
          <w:szCs w:val="24"/>
        </w:rPr>
        <w:t>Theatre Notebook</w:t>
      </w:r>
      <w:r w:rsidRPr="00DD343F">
        <w:rPr>
          <w:rFonts w:ascii="Times New Roman" w:hAnsi="Times New Roman" w:cs="Times New Roman"/>
          <w:sz w:val="24"/>
          <w:szCs w:val="24"/>
        </w:rPr>
        <w:t xml:space="preserve"> 66 (2012): 98-105.</w:t>
      </w:r>
    </w:p>
    <w:p w14:paraId="6A9A36BD"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Barish, Jonas. “‘Soft, Here Follows Prose’: Shakespeare’s Stage Documents.” In </w:t>
      </w:r>
      <w:r w:rsidRPr="00DD343F">
        <w:rPr>
          <w:rFonts w:ascii="Times New Roman" w:hAnsi="Times New Roman" w:cs="Times New Roman"/>
          <w:i/>
          <w:iCs/>
        </w:rPr>
        <w:t>The Arts of Performance in Elizabethan and Early Stuart Drama: Essays for G. K. Hunter</w:t>
      </w:r>
      <w:r w:rsidRPr="00DD343F">
        <w:rPr>
          <w:rFonts w:ascii="Times New Roman" w:hAnsi="Times New Roman" w:cs="Times New Roman"/>
        </w:rPr>
        <w:t>. Edited by Murray Biggs et al.</w:t>
      </w:r>
      <w:r w:rsidRPr="00DD343F">
        <w:rPr>
          <w:rFonts w:ascii="Times New Roman" w:hAnsi="Times New Roman" w:cs="Times New Roman"/>
          <w:i/>
          <w:iCs/>
        </w:rPr>
        <w:t xml:space="preserve"> </w:t>
      </w:r>
      <w:r w:rsidRPr="00DD343F">
        <w:rPr>
          <w:rFonts w:ascii="Times New Roman" w:hAnsi="Times New Roman" w:cs="Times New Roman"/>
        </w:rPr>
        <w:t>32-49. Edinburgh; Edinburgh University Press, 1991.</w:t>
      </w:r>
    </w:p>
    <w:p w14:paraId="3932EADE"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Bourne, Claire M. L. “Dramatic Typography and the Restoration Quartos of </w:t>
      </w:r>
      <w:r w:rsidRPr="00DD343F">
        <w:rPr>
          <w:rFonts w:ascii="Times New Roman" w:hAnsi="Times New Roman" w:cs="Times New Roman"/>
          <w:i/>
          <w:iCs/>
        </w:rPr>
        <w:t>Hamlet</w:t>
      </w:r>
      <w:r w:rsidRPr="00DD343F">
        <w:rPr>
          <w:rFonts w:ascii="Times New Roman" w:hAnsi="Times New Roman" w:cs="Times New Roman"/>
        </w:rPr>
        <w:t xml:space="preserve">.” In </w:t>
      </w:r>
      <w:r w:rsidRPr="00DD343F">
        <w:rPr>
          <w:rFonts w:ascii="Times New Roman" w:hAnsi="Times New Roman" w:cs="Times New Roman"/>
          <w:i/>
          <w:iCs/>
        </w:rPr>
        <w:t>Canonising Shakespeare: Stationers and the Book Trade, 1640-1740</w:t>
      </w:r>
      <w:r w:rsidRPr="00DD343F">
        <w:rPr>
          <w:rFonts w:ascii="Times New Roman" w:hAnsi="Times New Roman" w:cs="Times New Roman"/>
        </w:rPr>
        <w:t>. Edited by Emma Depledge and Peter Kirwan. 153-70. Cambridge: Cambridge University Press, 2018.</w:t>
      </w:r>
    </w:p>
    <w:p w14:paraId="71692A4D"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Brooks, Douglas A. </w:t>
      </w:r>
      <w:r w:rsidRPr="00DD343F">
        <w:rPr>
          <w:rFonts w:ascii="Times New Roman" w:hAnsi="Times New Roman" w:cs="Times New Roman"/>
          <w:i/>
          <w:iCs/>
          <w:sz w:val="24"/>
          <w:szCs w:val="24"/>
        </w:rPr>
        <w:t>Printing and Parenting in Early Modern England</w:t>
      </w:r>
      <w:r w:rsidRPr="00DD343F">
        <w:rPr>
          <w:rFonts w:ascii="Times New Roman" w:hAnsi="Times New Roman" w:cs="Times New Roman"/>
          <w:sz w:val="24"/>
          <w:szCs w:val="24"/>
        </w:rPr>
        <w:t>. London: Routledge, 2005.</w:t>
      </w:r>
    </w:p>
    <w:p w14:paraId="6A88BC23"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Cannon, John, and Anne Hargreaves. </w:t>
      </w:r>
      <w:r w:rsidRPr="00DD343F">
        <w:rPr>
          <w:rFonts w:ascii="Times New Roman" w:hAnsi="Times New Roman" w:cs="Times New Roman"/>
          <w:i/>
          <w:iCs/>
        </w:rPr>
        <w:t>The Kings and Queens of Britain</w:t>
      </w:r>
      <w:r w:rsidRPr="00DD343F">
        <w:rPr>
          <w:rFonts w:ascii="Times New Roman" w:hAnsi="Times New Roman" w:cs="Times New Roman"/>
        </w:rPr>
        <w:t>. Oxford: Oxford University Press, 2001.</w:t>
      </w:r>
    </w:p>
    <w:p w14:paraId="1AA687C6"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Cutts, John. </w:t>
      </w:r>
      <w:r w:rsidRPr="00DD343F">
        <w:rPr>
          <w:rFonts w:ascii="Times New Roman" w:hAnsi="Times New Roman" w:cs="Times New Roman"/>
          <w:i/>
          <w:iCs/>
        </w:rPr>
        <w:t>The Shattered Glass: A Dramatic Pattern in Shakespeare’s Early Plays</w:t>
      </w:r>
      <w:r w:rsidRPr="00DD343F">
        <w:rPr>
          <w:rFonts w:ascii="Times New Roman" w:hAnsi="Times New Roman" w:cs="Times New Roman"/>
        </w:rPr>
        <w:t>. Wayne State University Press, 1968.</w:t>
      </w:r>
    </w:p>
    <w:p w14:paraId="01B3707B"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Daybell, James. </w:t>
      </w:r>
      <w:r w:rsidRPr="00DD343F">
        <w:rPr>
          <w:rFonts w:ascii="Times New Roman" w:hAnsi="Times New Roman" w:cs="Times New Roman"/>
          <w:i/>
          <w:iCs/>
          <w:sz w:val="24"/>
          <w:szCs w:val="24"/>
        </w:rPr>
        <w:t xml:space="preserve">The Material Letter in Early Modern England: Manuscript Letters and the Culture and Practice of Letter Writing, 1512-1635. </w:t>
      </w:r>
      <w:r w:rsidRPr="00DD343F">
        <w:rPr>
          <w:rFonts w:ascii="Times New Roman" w:hAnsi="Times New Roman" w:cs="Times New Roman"/>
          <w:sz w:val="24"/>
          <w:szCs w:val="24"/>
        </w:rPr>
        <w:t>Houndsmill: Palgrave Macmillan, 2012.</w:t>
      </w:r>
    </w:p>
    <w:p w14:paraId="5BEEBEFA"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lastRenderedPageBreak/>
        <w:t xml:space="preserve">Depledge, Emma, and Marissa Nicosia. “Handwritten Character Lists at the Folger Shakespeare Library.” </w:t>
      </w:r>
      <w:r w:rsidRPr="00DD343F">
        <w:rPr>
          <w:rFonts w:ascii="Times New Roman" w:hAnsi="Times New Roman" w:cs="Times New Roman"/>
          <w:i/>
          <w:iCs/>
        </w:rPr>
        <w:t xml:space="preserve">Marginal Notes </w:t>
      </w:r>
      <w:r w:rsidRPr="00DD343F">
        <w:rPr>
          <w:rFonts w:ascii="Times New Roman" w:hAnsi="Times New Roman" w:cs="Times New Roman"/>
        </w:rPr>
        <w:t>(blog). June 28, 2016. Available online: https://marissanicosia.wordpress.com/2016/06/28/handwritten-character-lists-at-the-folger-shakespeare-library/.</w:t>
      </w:r>
    </w:p>
    <w:p w14:paraId="712161AC"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Depledge, Emma. “False Dating: The Case of the ‘1676’ </w:t>
      </w:r>
      <w:r w:rsidRPr="00DD343F">
        <w:rPr>
          <w:rFonts w:ascii="Times New Roman" w:hAnsi="Times New Roman" w:cs="Times New Roman"/>
          <w:i/>
          <w:iCs/>
        </w:rPr>
        <w:t xml:space="preserve">Hamlet </w:t>
      </w:r>
      <w:r w:rsidRPr="00DD343F">
        <w:rPr>
          <w:rFonts w:ascii="Times New Roman" w:hAnsi="Times New Roman" w:cs="Times New Roman"/>
        </w:rPr>
        <w:t xml:space="preserve">Quartos.” </w:t>
      </w:r>
      <w:r w:rsidRPr="00DD343F">
        <w:rPr>
          <w:rFonts w:ascii="Times New Roman" w:hAnsi="Times New Roman" w:cs="Times New Roman"/>
          <w:i/>
          <w:iCs/>
        </w:rPr>
        <w:t>Papers of the Bibliographical Society of America</w:t>
      </w:r>
      <w:r w:rsidRPr="00DD343F">
        <w:rPr>
          <w:rFonts w:ascii="Times New Roman" w:hAnsi="Times New Roman" w:cs="Times New Roman"/>
        </w:rPr>
        <w:t xml:space="preserve"> 112 (2018): 183-99.</w:t>
      </w:r>
    </w:p>
    <w:p w14:paraId="28AD070F"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Dessen, Alan, and Leslie Thomson. </w:t>
      </w:r>
      <w:r w:rsidRPr="00DD343F">
        <w:rPr>
          <w:rFonts w:ascii="Times New Roman" w:hAnsi="Times New Roman" w:cs="Times New Roman"/>
          <w:i/>
          <w:iCs/>
        </w:rPr>
        <w:t>A Dictionary of Stage Directions in English Drama, 1580-1642</w:t>
      </w:r>
      <w:r w:rsidRPr="00DD343F">
        <w:rPr>
          <w:rFonts w:ascii="Times New Roman" w:hAnsi="Times New Roman" w:cs="Times New Roman"/>
        </w:rPr>
        <w:t>. Cambridge: Cambridge University Press, 1999.</w:t>
      </w:r>
    </w:p>
    <w:p w14:paraId="10F4A2CB"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Gaskell, Philip. </w:t>
      </w:r>
      <w:r w:rsidRPr="00DD343F">
        <w:rPr>
          <w:rFonts w:ascii="Times New Roman" w:hAnsi="Times New Roman" w:cs="Times New Roman"/>
          <w:i/>
          <w:iCs/>
        </w:rPr>
        <w:t>A New Introduction to Bibliography</w:t>
      </w:r>
      <w:r w:rsidRPr="00DD343F">
        <w:rPr>
          <w:rFonts w:ascii="Times New Roman" w:hAnsi="Times New Roman" w:cs="Times New Roman"/>
        </w:rPr>
        <w:t>. Oxford: Oxford University Press, 1972.</w:t>
      </w:r>
    </w:p>
    <w:p w14:paraId="1415FF25"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Greg, W.W. “On Certain False Dates in Shakespeare Quartos.” </w:t>
      </w:r>
      <w:r w:rsidRPr="00DD343F">
        <w:rPr>
          <w:rFonts w:ascii="Times New Roman" w:hAnsi="Times New Roman" w:cs="Times New Roman"/>
          <w:i/>
          <w:iCs/>
        </w:rPr>
        <w:t>The Library</w:t>
      </w:r>
      <w:r w:rsidRPr="00DD343F">
        <w:rPr>
          <w:rFonts w:ascii="Times New Roman" w:hAnsi="Times New Roman" w:cs="Times New Roman"/>
        </w:rPr>
        <w:t>, 2nd series, 9 (1908): 113-31.</w:t>
      </w:r>
    </w:p>
    <w:p w14:paraId="2AE9E72A"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Hailey, R. Carter. “The Shakespearian Pavier Quartos Revisited.” </w:t>
      </w:r>
      <w:r w:rsidRPr="00DD343F">
        <w:rPr>
          <w:rFonts w:ascii="Times New Roman" w:hAnsi="Times New Roman" w:cs="Times New Roman"/>
          <w:i/>
          <w:iCs/>
        </w:rPr>
        <w:t>Studies in Bibliography</w:t>
      </w:r>
      <w:r w:rsidRPr="00DD343F">
        <w:rPr>
          <w:rFonts w:ascii="Times New Roman" w:hAnsi="Times New Roman" w:cs="Times New Roman"/>
        </w:rPr>
        <w:t xml:space="preserve"> 57 (2005/2006): 151-195.</w:t>
      </w:r>
    </w:p>
    <w:p w14:paraId="6A55FCFD"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Hailey, R. Carter.“The Dating Game: New Evidence for the Dates of Q4 </w:t>
      </w:r>
      <w:r w:rsidRPr="00DD343F">
        <w:rPr>
          <w:rFonts w:ascii="Times New Roman" w:hAnsi="Times New Roman" w:cs="Times New Roman"/>
          <w:i/>
          <w:iCs/>
          <w:sz w:val="24"/>
          <w:szCs w:val="24"/>
        </w:rPr>
        <w:t>Romeo and Juliet</w:t>
      </w:r>
      <w:r w:rsidRPr="00DD343F">
        <w:rPr>
          <w:rFonts w:ascii="Times New Roman" w:hAnsi="Times New Roman" w:cs="Times New Roman"/>
          <w:sz w:val="24"/>
          <w:szCs w:val="24"/>
        </w:rPr>
        <w:t xml:space="preserve"> and Q4 </w:t>
      </w:r>
      <w:r w:rsidRPr="00DD343F">
        <w:rPr>
          <w:rFonts w:ascii="Times New Roman" w:hAnsi="Times New Roman" w:cs="Times New Roman"/>
          <w:i/>
          <w:iCs/>
          <w:sz w:val="24"/>
          <w:szCs w:val="24"/>
        </w:rPr>
        <w:t>Hamlet</w:t>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Shakespeare Quarterly</w:t>
      </w:r>
      <w:r w:rsidRPr="00DD343F">
        <w:rPr>
          <w:rFonts w:ascii="Times New Roman" w:hAnsi="Times New Roman" w:cs="Times New Roman"/>
          <w:sz w:val="24"/>
          <w:szCs w:val="24"/>
        </w:rPr>
        <w:t xml:space="preserve"> 58.3 (2007): 367–87.</w:t>
      </w:r>
    </w:p>
    <w:p w14:paraId="7FD761BA" w14:textId="77777777" w:rsidR="00CA54B4" w:rsidRPr="00DD343F" w:rsidRDefault="00CA54B4" w:rsidP="00CA54B4">
      <w:pPr>
        <w:adjustRightInd w:val="0"/>
        <w:snapToGrid w:val="0"/>
        <w:spacing w:line="480" w:lineRule="auto"/>
        <w:ind w:left="720" w:hanging="720"/>
        <w:rPr>
          <w:rFonts w:ascii="Times New Roman" w:hAnsi="Times New Roman" w:cs="Times New Roman"/>
          <w:bCs/>
        </w:rPr>
      </w:pPr>
      <w:r w:rsidRPr="00DD343F">
        <w:rPr>
          <w:rFonts w:ascii="Times New Roman" w:hAnsi="Times New Roman" w:cs="Times New Roman"/>
          <w:bCs/>
        </w:rPr>
        <w:t xml:space="preserve">Hall, Kim F. </w:t>
      </w:r>
      <w:r w:rsidRPr="00DD343F">
        <w:rPr>
          <w:rFonts w:ascii="Times New Roman" w:hAnsi="Times New Roman" w:cs="Times New Roman"/>
          <w:bCs/>
          <w:i/>
          <w:iCs/>
        </w:rPr>
        <w:t>Things of Darkness: Economies of Race and Gender in Early Modern England</w:t>
      </w:r>
      <w:r w:rsidRPr="00DD343F">
        <w:rPr>
          <w:rFonts w:ascii="Times New Roman" w:hAnsi="Times New Roman" w:cs="Times New Roman"/>
          <w:bCs/>
        </w:rPr>
        <w:t>. Ithaca: Cornell University Press, 1995.</w:t>
      </w:r>
    </w:p>
    <w:p w14:paraId="04CD2B63"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Harris, Mitchell M. “The Expense of Ink and Wastes of Shame: Poetic Generation, Black Ink, and Material Waste in Shakespeare’s Sonnets.” In </w:t>
      </w:r>
      <w:r w:rsidRPr="00DD343F">
        <w:rPr>
          <w:rFonts w:ascii="Times New Roman" w:hAnsi="Times New Roman" w:cs="Times New Roman"/>
          <w:i/>
          <w:iCs/>
        </w:rPr>
        <w:t>The Materiality of Colour: The Production, Circulation and Application of Dyes and Pigments, 1400-1800</w:t>
      </w:r>
      <w:r w:rsidRPr="00DD343F">
        <w:rPr>
          <w:rFonts w:ascii="Times New Roman" w:hAnsi="Times New Roman" w:cs="Times New Roman"/>
        </w:rPr>
        <w:t xml:space="preserve">. Edited by Andrea Feeser, </w:t>
      </w:r>
      <w:r w:rsidRPr="00DD343F">
        <w:rPr>
          <w:rFonts w:ascii="Times New Roman" w:eastAsia="Times New Roman" w:hAnsi="Times New Roman" w:cs="Times New Roman"/>
        </w:rPr>
        <w:t>Andrea Feeser, Maureen Daly Goggin, and Beth Fowkes Tobin</w:t>
      </w:r>
      <w:r w:rsidRPr="00DD343F">
        <w:rPr>
          <w:rFonts w:ascii="Times New Roman" w:hAnsi="Times New Roman" w:cs="Times New Roman"/>
        </w:rPr>
        <w:t>, 65-80. London: Routledge, 2016.</w:t>
      </w:r>
    </w:p>
    <w:p w14:paraId="4E063088"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lastRenderedPageBreak/>
        <w:t xml:space="preserve">Hulvey, Monique. “Not So Marginal: Manuscript Annotations in the Folger Incunabula.” </w:t>
      </w:r>
      <w:r w:rsidRPr="00DD343F">
        <w:rPr>
          <w:rFonts w:ascii="Times New Roman" w:hAnsi="Times New Roman" w:cs="Times New Roman"/>
          <w:i/>
          <w:iCs/>
        </w:rPr>
        <w:t>The Papers of the Bibliographical Society of America</w:t>
      </w:r>
      <w:r w:rsidRPr="00DD343F">
        <w:rPr>
          <w:rFonts w:ascii="Times New Roman" w:hAnsi="Times New Roman" w:cs="Times New Roman"/>
        </w:rPr>
        <w:t xml:space="preserve"> 92, no. 2 (1998): 159-76.</w:t>
      </w:r>
    </w:p>
    <w:p w14:paraId="5E80BAC1"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lang w:val="en-US"/>
        </w:rPr>
        <w:t xml:space="preserve">Knight, Jeffrey Todd. “Shakespeare and the Collection: Reading Beyond Readers’ Marks.” In </w:t>
      </w:r>
      <w:r w:rsidRPr="00DD343F">
        <w:rPr>
          <w:rFonts w:ascii="Times New Roman" w:hAnsi="Times New Roman" w:cs="Times New Roman"/>
          <w:i/>
          <w:iCs/>
          <w:sz w:val="24"/>
          <w:szCs w:val="24"/>
          <w:lang w:val="en-US"/>
        </w:rPr>
        <w:t>Shakespeare and Textual Studies</w:t>
      </w:r>
      <w:r w:rsidRPr="00DD343F">
        <w:rPr>
          <w:rFonts w:ascii="Times New Roman" w:hAnsi="Times New Roman" w:cs="Times New Roman"/>
          <w:sz w:val="24"/>
          <w:szCs w:val="24"/>
          <w:lang w:val="en-US"/>
        </w:rPr>
        <w:t>. Edited by Sonia Massai and Margaret Jane Kidnie. 177-95. Cambridge: Cambridge University Press, 2015.</w:t>
      </w:r>
    </w:p>
    <w:p w14:paraId="0B8966CB"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Lesser, Zachary. “Ghost, Holes and Rips: The Pavier Quartos Reexamined.” Lecture at The Yale Program in the History of the Book, Yale University. May 1, 2017. Available online: https://www.listennotes.com/podcasts/yale-program-in/zachary-lesser-ghosts-holes-mPLzkSivqC6/.</w:t>
      </w:r>
    </w:p>
    <w:p w14:paraId="313923B5"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Lesser, Zachary. </w:t>
      </w:r>
      <w:r w:rsidRPr="00DD343F">
        <w:rPr>
          <w:rFonts w:ascii="Times New Roman" w:hAnsi="Times New Roman" w:cs="Times New Roman"/>
          <w:i/>
          <w:iCs/>
          <w:sz w:val="24"/>
          <w:szCs w:val="24"/>
        </w:rPr>
        <w:t xml:space="preserve">Ghosts, Holes, Rips and Scrapes: Shakespeare in 1619, Bibliography in the Longue Durée. </w:t>
      </w:r>
      <w:r w:rsidRPr="00DD343F">
        <w:rPr>
          <w:rFonts w:ascii="Times New Roman" w:hAnsi="Times New Roman" w:cs="Times New Roman"/>
          <w:sz w:val="24"/>
          <w:szCs w:val="24"/>
        </w:rPr>
        <w:t>University of Pennsylvania Press, forthcoming.</w:t>
      </w:r>
    </w:p>
    <w:p w14:paraId="781BA5CD" w14:textId="77777777" w:rsidR="00CA54B4" w:rsidRPr="00DD343F" w:rsidRDefault="00CA54B4" w:rsidP="00CA54B4">
      <w:pPr>
        <w:adjustRightInd w:val="0"/>
        <w:snapToGrid w:val="0"/>
        <w:spacing w:line="480" w:lineRule="auto"/>
        <w:ind w:left="720" w:hanging="720"/>
        <w:rPr>
          <w:rFonts w:ascii="Times New Roman" w:hAnsi="Times New Roman" w:cs="Times New Roman"/>
          <w:bCs/>
        </w:rPr>
      </w:pPr>
      <w:r w:rsidRPr="00DD343F">
        <w:rPr>
          <w:rFonts w:ascii="Times New Roman" w:hAnsi="Times New Roman" w:cs="Times New Roman"/>
          <w:bCs/>
        </w:rPr>
        <w:t xml:space="preserve">Marino, James. </w:t>
      </w:r>
      <w:r w:rsidRPr="00DD343F">
        <w:rPr>
          <w:rFonts w:ascii="Times New Roman" w:hAnsi="Times New Roman" w:cs="Times New Roman"/>
          <w:bCs/>
          <w:i/>
          <w:iCs/>
        </w:rPr>
        <w:t>Owning William Shakespeare: The King’s Men and their Intellectual Property</w:t>
      </w:r>
      <w:r w:rsidRPr="00DD343F">
        <w:rPr>
          <w:rFonts w:ascii="Times New Roman" w:hAnsi="Times New Roman" w:cs="Times New Roman"/>
          <w:bCs/>
        </w:rPr>
        <w:t>. Philadelphia: University of Pennsylvania Press, 2011.</w:t>
      </w:r>
    </w:p>
    <w:p w14:paraId="57B49B83"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Massai, Sonia. </w:t>
      </w:r>
      <w:r w:rsidRPr="00DD343F">
        <w:rPr>
          <w:rFonts w:ascii="Times New Roman" w:hAnsi="Times New Roman" w:cs="Times New Roman"/>
          <w:i/>
          <w:iCs/>
        </w:rPr>
        <w:t xml:space="preserve">Shakespeare and the Rise of the Editor. </w:t>
      </w:r>
      <w:r w:rsidRPr="00DD343F">
        <w:rPr>
          <w:rFonts w:ascii="Times New Roman" w:hAnsi="Times New Roman" w:cs="Times New Roman"/>
        </w:rPr>
        <w:t>Cambridge, Cambridge University Press, 2007.</w:t>
      </w:r>
    </w:p>
    <w:p w14:paraId="46BEDC1D"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Nashe, Thomas. </w:t>
      </w:r>
      <w:r w:rsidRPr="00DD343F">
        <w:rPr>
          <w:rFonts w:ascii="Times New Roman" w:hAnsi="Times New Roman" w:cs="Times New Roman"/>
          <w:i/>
          <w:iCs/>
        </w:rPr>
        <w:t>The Unfortunate Traveller and Other Works</w:t>
      </w:r>
      <w:r w:rsidRPr="00DD343F">
        <w:rPr>
          <w:rFonts w:ascii="Times New Roman" w:hAnsi="Times New Roman" w:cs="Times New Roman"/>
        </w:rPr>
        <w:t>. Edited by J.B. Steane. London: Penguin, 1985.</w:t>
      </w:r>
    </w:p>
    <w:p w14:paraId="230F111D"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bCs/>
        </w:rPr>
        <w:t xml:space="preserve">Nichols, Nina da Vinci. </w:t>
      </w:r>
      <w:r w:rsidRPr="00DD343F">
        <w:rPr>
          <w:rFonts w:ascii="Times New Roman" w:hAnsi="Times New Roman" w:cs="Times New Roman"/>
        </w:rPr>
        <w:t xml:space="preserve">“The Paper Trail to the Throne.” In </w:t>
      </w:r>
      <w:r w:rsidRPr="00DD343F">
        <w:rPr>
          <w:rFonts w:ascii="Times New Roman" w:hAnsi="Times New Roman" w:cs="Times New Roman"/>
          <w:i/>
          <w:iCs/>
        </w:rPr>
        <w:t>Henry VI: Critical Essays</w:t>
      </w:r>
      <w:r w:rsidRPr="00DD343F">
        <w:rPr>
          <w:rFonts w:ascii="Times New Roman" w:hAnsi="Times New Roman" w:cs="Times New Roman"/>
        </w:rPr>
        <w:t>. Edited by Thomas A. Pendleton. 97-112. London: Routledge, 2001.</w:t>
      </w:r>
    </w:p>
    <w:p w14:paraId="14105171"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Palfrey, Simon, and Tiffany Stern. </w:t>
      </w:r>
      <w:r w:rsidRPr="00DD343F">
        <w:rPr>
          <w:rFonts w:ascii="Times New Roman" w:hAnsi="Times New Roman" w:cs="Times New Roman"/>
          <w:i/>
          <w:iCs/>
          <w:sz w:val="24"/>
          <w:szCs w:val="24"/>
        </w:rPr>
        <w:t>Shakespeare in Parts</w:t>
      </w:r>
      <w:r w:rsidRPr="00DD343F">
        <w:rPr>
          <w:rFonts w:ascii="Times New Roman" w:hAnsi="Times New Roman" w:cs="Times New Roman"/>
          <w:sz w:val="24"/>
          <w:szCs w:val="24"/>
        </w:rPr>
        <w:t>. Oxford: Oxford University Press, 2007.</w:t>
      </w:r>
    </w:p>
    <w:p w14:paraId="51110F9A"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Pratt, Aaron T. “Stab-Stitching and the Status of Early English Playbooks as Literature.” </w:t>
      </w:r>
      <w:r w:rsidRPr="00DD343F">
        <w:rPr>
          <w:rFonts w:ascii="Times New Roman" w:hAnsi="Times New Roman" w:cs="Times New Roman"/>
          <w:i/>
          <w:iCs/>
          <w:sz w:val="24"/>
          <w:szCs w:val="24"/>
        </w:rPr>
        <w:t>The Library</w:t>
      </w:r>
      <w:r w:rsidRPr="00DD343F">
        <w:rPr>
          <w:rFonts w:ascii="Times New Roman" w:hAnsi="Times New Roman" w:cs="Times New Roman"/>
          <w:sz w:val="24"/>
          <w:szCs w:val="24"/>
        </w:rPr>
        <w:t xml:space="preserve"> 16, no. 3 (2015): 304-328.</w:t>
      </w:r>
    </w:p>
    <w:p w14:paraId="16905F97"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lastRenderedPageBreak/>
        <w:t xml:space="preserve">Scott-Warren, </w:t>
      </w:r>
      <w:r w:rsidRPr="00DD343F">
        <w:rPr>
          <w:rFonts w:ascii="Times New Roman" w:hAnsi="Times New Roman" w:cs="Times New Roman"/>
          <w:bCs/>
          <w:sz w:val="24"/>
          <w:szCs w:val="24"/>
        </w:rPr>
        <w:t xml:space="preserve">Jason. </w:t>
      </w:r>
      <w:r w:rsidRPr="00DD343F">
        <w:rPr>
          <w:rFonts w:ascii="Times New Roman" w:hAnsi="Times New Roman" w:cs="Times New Roman"/>
          <w:sz w:val="24"/>
          <w:szCs w:val="24"/>
        </w:rPr>
        <w:t xml:space="preserve">“Milton’s Shakespeare?” </w:t>
      </w:r>
      <w:r w:rsidRPr="00DD343F">
        <w:rPr>
          <w:rFonts w:ascii="Times New Roman" w:hAnsi="Times New Roman" w:cs="Times New Roman"/>
          <w:i/>
          <w:iCs/>
          <w:sz w:val="24"/>
          <w:szCs w:val="24"/>
        </w:rPr>
        <w:t xml:space="preserve">Cambridge Centre for Material Texts </w:t>
      </w:r>
      <w:r w:rsidRPr="00DD343F">
        <w:rPr>
          <w:rFonts w:ascii="Times New Roman" w:hAnsi="Times New Roman" w:cs="Times New Roman"/>
          <w:sz w:val="24"/>
          <w:szCs w:val="24"/>
        </w:rPr>
        <w:t>(blog). September 9, 2019. Available online: https://www.english.cam.ac.uk/cmt/?p=5751.</w:t>
      </w:r>
    </w:p>
    <w:p w14:paraId="3BAFD2C3"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Scott, Charlotte. </w:t>
      </w:r>
      <w:r w:rsidRPr="00DD343F">
        <w:rPr>
          <w:rFonts w:ascii="Times New Roman" w:hAnsi="Times New Roman" w:cs="Times New Roman"/>
          <w:i/>
          <w:iCs/>
        </w:rPr>
        <w:t>Shakespeare and the Idea of the Book</w:t>
      </w:r>
      <w:r w:rsidRPr="00DD343F">
        <w:rPr>
          <w:rFonts w:ascii="Times New Roman" w:hAnsi="Times New Roman" w:cs="Times New Roman"/>
        </w:rPr>
        <w:t>. Oxford: Oxford University Press, 2007.</w:t>
      </w:r>
    </w:p>
    <w:p w14:paraId="63355170"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bCs/>
        </w:rPr>
        <w:t xml:space="preserve">Stern, Tiffany. “‘Fill thy Purse with Money’: Shareholders, Shakespeare and Theatrical Finance.” </w:t>
      </w:r>
      <w:r w:rsidRPr="00DD343F">
        <w:rPr>
          <w:rFonts w:ascii="Times New Roman" w:hAnsi="Times New Roman" w:cs="Times New Roman"/>
          <w:bCs/>
          <w:i/>
          <w:iCs/>
        </w:rPr>
        <w:t>Shakespeare Jahrbuch</w:t>
      </w:r>
      <w:r w:rsidRPr="00DD343F">
        <w:rPr>
          <w:rFonts w:ascii="Times New Roman" w:hAnsi="Times New Roman" w:cs="Times New Roman"/>
          <w:bCs/>
        </w:rPr>
        <w:t xml:space="preserve"> 150 (2014): 65-78. </w:t>
      </w:r>
    </w:p>
    <w:p w14:paraId="0F822449"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sz w:val="24"/>
          <w:szCs w:val="24"/>
        </w:rPr>
        <w:t xml:space="preserve">Stern, Tiffany. “‘On each Wall / And Corner Post’: Playbills, Title-pages, and Advertising in Early Modern London.” </w:t>
      </w:r>
      <w:r w:rsidRPr="00DD343F">
        <w:rPr>
          <w:rFonts w:ascii="Times New Roman" w:hAnsi="Times New Roman" w:cs="Times New Roman"/>
          <w:i/>
          <w:iCs/>
          <w:sz w:val="24"/>
          <w:szCs w:val="24"/>
        </w:rPr>
        <w:t>English Literary Renaissance</w:t>
      </w:r>
      <w:r w:rsidRPr="00DD343F">
        <w:rPr>
          <w:rFonts w:ascii="Times New Roman" w:hAnsi="Times New Roman" w:cs="Times New Roman"/>
          <w:sz w:val="24"/>
          <w:szCs w:val="24"/>
        </w:rPr>
        <w:t xml:space="preserve"> 36 (2006): 57-85. </w:t>
      </w:r>
    </w:p>
    <w:p w14:paraId="0EB6BBE5"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bCs/>
          <w:sz w:val="24"/>
          <w:szCs w:val="24"/>
        </w:rPr>
      </w:pPr>
      <w:r w:rsidRPr="00DD343F">
        <w:rPr>
          <w:rFonts w:ascii="Times New Roman" w:hAnsi="Times New Roman" w:cs="Times New Roman"/>
          <w:sz w:val="24"/>
          <w:szCs w:val="24"/>
        </w:rPr>
        <w:t xml:space="preserve">Stern, Tiffany. “Shakespeare the Ballad Monger?” In </w:t>
      </w:r>
      <w:r w:rsidRPr="00DD343F">
        <w:rPr>
          <w:rFonts w:ascii="Times New Roman" w:hAnsi="Times New Roman" w:cs="Times New Roman"/>
          <w:bCs/>
          <w:i/>
          <w:iCs/>
          <w:sz w:val="24"/>
          <w:szCs w:val="24"/>
          <w:lang w:val="en-US"/>
        </w:rPr>
        <w:t>Rethinking Theatrical Documents</w:t>
      </w:r>
      <w:r w:rsidRPr="00DD343F">
        <w:rPr>
          <w:rFonts w:ascii="Times New Roman" w:hAnsi="Times New Roman" w:cs="Times New Roman"/>
          <w:bCs/>
          <w:sz w:val="24"/>
          <w:szCs w:val="24"/>
        </w:rPr>
        <w:t xml:space="preserve"> </w:t>
      </w:r>
      <w:r w:rsidRPr="00DD343F">
        <w:rPr>
          <w:rFonts w:ascii="Times New Roman" w:hAnsi="Times New Roman" w:cs="Times New Roman"/>
          <w:bCs/>
          <w:i/>
          <w:iCs/>
          <w:sz w:val="24"/>
          <w:szCs w:val="24"/>
          <w:lang w:val="en-US"/>
        </w:rPr>
        <w:t>in Shakespeare’s England</w:t>
      </w:r>
      <w:r w:rsidRPr="00DD343F">
        <w:rPr>
          <w:rFonts w:ascii="Times New Roman" w:hAnsi="Times New Roman" w:cs="Times New Roman"/>
          <w:bCs/>
          <w:sz w:val="24"/>
          <w:szCs w:val="24"/>
        </w:rPr>
        <w:t xml:space="preserve">. Edited by Tiffany Stern. </w:t>
      </w:r>
      <w:r w:rsidRPr="00DD343F">
        <w:rPr>
          <w:rFonts w:ascii="Times New Roman" w:hAnsi="Times New Roman" w:cs="Times New Roman"/>
          <w:bCs/>
          <w:sz w:val="24"/>
          <w:szCs w:val="24"/>
          <w:lang w:val="en-US"/>
        </w:rPr>
        <w:t>316-28</w:t>
      </w:r>
      <w:r w:rsidRPr="00DD343F">
        <w:rPr>
          <w:rFonts w:ascii="Times New Roman" w:hAnsi="Times New Roman" w:cs="Times New Roman"/>
          <w:sz w:val="24"/>
          <w:szCs w:val="24"/>
        </w:rPr>
        <w:t xml:space="preserve">. </w:t>
      </w:r>
      <w:r w:rsidRPr="00DD343F">
        <w:rPr>
          <w:rFonts w:ascii="Times New Roman" w:hAnsi="Times New Roman" w:cs="Times New Roman"/>
          <w:bCs/>
          <w:sz w:val="24"/>
          <w:szCs w:val="24"/>
          <w:lang w:val="en-US"/>
        </w:rPr>
        <w:t>London: Bloomsbury, 2020</w:t>
      </w:r>
      <w:r w:rsidRPr="00DD343F">
        <w:rPr>
          <w:rFonts w:ascii="Times New Roman" w:hAnsi="Times New Roman" w:cs="Times New Roman"/>
          <w:bCs/>
          <w:sz w:val="24"/>
          <w:szCs w:val="24"/>
        </w:rPr>
        <w:t>.</w:t>
      </w:r>
    </w:p>
    <w:p w14:paraId="1352FC96" w14:textId="77777777" w:rsidR="00CA54B4" w:rsidRPr="00DD343F" w:rsidRDefault="00CA54B4" w:rsidP="00CA54B4">
      <w:pPr>
        <w:pStyle w:val="EndnoteText"/>
        <w:adjustRightInd w:val="0"/>
        <w:snapToGrid w:val="0"/>
        <w:spacing w:line="480" w:lineRule="auto"/>
        <w:ind w:left="720" w:hanging="720"/>
        <w:rPr>
          <w:rFonts w:ascii="Times New Roman" w:hAnsi="Times New Roman" w:cs="Times New Roman"/>
          <w:sz w:val="24"/>
          <w:szCs w:val="24"/>
        </w:rPr>
      </w:pPr>
      <w:r w:rsidRPr="00DD343F">
        <w:rPr>
          <w:rFonts w:ascii="Times New Roman" w:hAnsi="Times New Roman" w:cs="Times New Roman"/>
          <w:bCs/>
          <w:sz w:val="24"/>
          <w:szCs w:val="24"/>
          <w:lang w:val="en-US"/>
        </w:rPr>
        <w:t xml:space="preserve">Stern, Tiffany. </w:t>
      </w:r>
      <w:r w:rsidRPr="00DD343F">
        <w:rPr>
          <w:rFonts w:ascii="Times New Roman" w:hAnsi="Times New Roman" w:cs="Times New Roman"/>
          <w:i/>
          <w:iCs/>
          <w:sz w:val="24"/>
          <w:szCs w:val="24"/>
        </w:rPr>
        <w:t>Documents of Performance in Early Modern England</w:t>
      </w:r>
      <w:r w:rsidRPr="00DD343F">
        <w:rPr>
          <w:rFonts w:ascii="Times New Roman" w:hAnsi="Times New Roman" w:cs="Times New Roman"/>
          <w:sz w:val="24"/>
          <w:szCs w:val="24"/>
        </w:rPr>
        <w:t>. Cambridge: Cambridge University Press, 2009.</w:t>
      </w:r>
    </w:p>
    <w:p w14:paraId="71B0C967" w14:textId="77777777" w:rsidR="00CA54B4" w:rsidRPr="00DD343F" w:rsidRDefault="00CA54B4" w:rsidP="00CA54B4">
      <w:pPr>
        <w:adjustRightInd w:val="0"/>
        <w:snapToGrid w:val="0"/>
        <w:spacing w:line="480" w:lineRule="auto"/>
        <w:ind w:left="720" w:hanging="720"/>
        <w:rPr>
          <w:rFonts w:ascii="Times New Roman" w:hAnsi="Times New Roman" w:cs="Times New Roman"/>
          <w:bCs/>
        </w:rPr>
      </w:pPr>
      <w:r w:rsidRPr="00DD343F">
        <w:rPr>
          <w:rFonts w:ascii="Times New Roman" w:hAnsi="Times New Roman" w:cs="Times New Roman"/>
        </w:rPr>
        <w:t xml:space="preserve">Stern, Tiffany. Introduction. </w:t>
      </w:r>
      <w:r w:rsidRPr="00DD343F">
        <w:rPr>
          <w:rFonts w:ascii="Times New Roman" w:hAnsi="Times New Roman" w:cs="Times New Roman"/>
          <w:bCs/>
          <w:i/>
          <w:iCs/>
        </w:rPr>
        <w:t>Rethinking Theatrical Documents in Shakespeare’s England</w:t>
      </w:r>
      <w:r w:rsidRPr="00DD343F">
        <w:rPr>
          <w:rFonts w:ascii="Times New Roman" w:hAnsi="Times New Roman" w:cs="Times New Roman"/>
          <w:bCs/>
        </w:rPr>
        <w:t xml:space="preserve">. Edited by Tiffany Stern. </w:t>
      </w:r>
      <w:r w:rsidRPr="00DD343F">
        <w:rPr>
          <w:rFonts w:ascii="Times New Roman" w:hAnsi="Times New Roman" w:cs="Times New Roman"/>
        </w:rPr>
        <w:t xml:space="preserve">1-13. </w:t>
      </w:r>
      <w:r w:rsidRPr="00DD343F">
        <w:rPr>
          <w:rFonts w:ascii="Times New Roman" w:hAnsi="Times New Roman" w:cs="Times New Roman"/>
          <w:bCs/>
        </w:rPr>
        <w:t>London: Bloomsbury, 2020.</w:t>
      </w:r>
    </w:p>
    <w:p w14:paraId="262B5620"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Stewart, Alan. </w:t>
      </w:r>
      <w:r w:rsidRPr="00DD343F">
        <w:rPr>
          <w:rFonts w:ascii="Times New Roman" w:hAnsi="Times New Roman" w:cs="Times New Roman"/>
          <w:i/>
          <w:iCs/>
        </w:rPr>
        <w:t>Shakespeare’s Letters</w:t>
      </w:r>
      <w:r w:rsidRPr="00DD343F">
        <w:rPr>
          <w:rFonts w:ascii="Times New Roman" w:hAnsi="Times New Roman" w:cs="Times New Roman"/>
        </w:rPr>
        <w:t>. Oxford: Oxford University Press, 2008.</w:t>
      </w:r>
    </w:p>
    <w:p w14:paraId="6793DE11" w14:textId="77777777" w:rsidR="00CA54B4" w:rsidRPr="00DD343F" w:rsidRDefault="00CA54B4" w:rsidP="00CA54B4">
      <w:pPr>
        <w:adjustRightInd w:val="0"/>
        <w:snapToGrid w:val="0"/>
        <w:spacing w:line="480" w:lineRule="auto"/>
        <w:ind w:left="720" w:hanging="720"/>
        <w:rPr>
          <w:rFonts w:ascii="Times New Roman" w:hAnsi="Times New Roman" w:cs="Times New Roman"/>
          <w:bCs/>
        </w:rPr>
      </w:pPr>
      <w:r w:rsidRPr="00DD343F">
        <w:rPr>
          <w:rFonts w:ascii="Times New Roman" w:hAnsi="Times New Roman" w:cs="Times New Roman"/>
        </w:rPr>
        <w:t xml:space="preserve">Wall-Randell, Sarah. </w:t>
      </w:r>
      <w:r w:rsidRPr="00DD343F">
        <w:rPr>
          <w:rFonts w:ascii="Times New Roman" w:hAnsi="Times New Roman" w:cs="Times New Roman"/>
          <w:bCs/>
        </w:rPr>
        <w:t xml:space="preserve">“What is a Staged Book? Books as ‘Actors’ in the Early Modern English Theatre.” In </w:t>
      </w:r>
      <w:r w:rsidRPr="00DD343F">
        <w:rPr>
          <w:rFonts w:ascii="Times New Roman" w:hAnsi="Times New Roman" w:cs="Times New Roman"/>
          <w:bCs/>
          <w:i/>
          <w:iCs/>
        </w:rPr>
        <w:t>Rethinking Theatrical Documents in Shakespeare’s England</w:t>
      </w:r>
      <w:r w:rsidRPr="00DD343F">
        <w:rPr>
          <w:rFonts w:ascii="Times New Roman" w:hAnsi="Times New Roman" w:cs="Times New Roman"/>
          <w:bCs/>
        </w:rPr>
        <w:t xml:space="preserve">. Edited by Tiffany Stern. </w:t>
      </w:r>
      <w:r w:rsidRPr="00DD343F">
        <w:rPr>
          <w:rFonts w:ascii="Times New Roman" w:hAnsi="Times New Roman" w:cs="Times New Roman"/>
        </w:rPr>
        <w:t xml:space="preserve">128-51. </w:t>
      </w:r>
      <w:r w:rsidRPr="00DD343F">
        <w:rPr>
          <w:rFonts w:ascii="Times New Roman" w:hAnsi="Times New Roman" w:cs="Times New Roman"/>
          <w:bCs/>
        </w:rPr>
        <w:t>London: Bloomsbury, 2020.</w:t>
      </w:r>
    </w:p>
    <w:p w14:paraId="2EBB2737" w14:textId="77777777" w:rsidR="00CA54B4" w:rsidRPr="00DD343F" w:rsidRDefault="00CA54B4" w:rsidP="00CA54B4">
      <w:pPr>
        <w:adjustRightInd w:val="0"/>
        <w:snapToGrid w:val="0"/>
        <w:spacing w:line="480" w:lineRule="auto"/>
        <w:ind w:left="720" w:hanging="720"/>
        <w:rPr>
          <w:rFonts w:ascii="Times New Roman" w:hAnsi="Times New Roman" w:cs="Times New Roman"/>
        </w:rPr>
      </w:pPr>
      <w:r w:rsidRPr="00DD343F">
        <w:rPr>
          <w:rFonts w:ascii="Times New Roman" w:hAnsi="Times New Roman" w:cs="Times New Roman"/>
        </w:rPr>
        <w:t xml:space="preserve">Werner, Sarah. “Blanking Out.” </w:t>
      </w:r>
      <w:r w:rsidRPr="00DD343F">
        <w:rPr>
          <w:rFonts w:ascii="Times New Roman" w:hAnsi="Times New Roman" w:cs="Times New Roman"/>
          <w:i/>
          <w:iCs/>
        </w:rPr>
        <w:t xml:space="preserve">Early Printed Fun </w:t>
      </w:r>
      <w:r w:rsidRPr="00DD343F">
        <w:rPr>
          <w:rFonts w:ascii="Times New Roman" w:hAnsi="Times New Roman" w:cs="Times New Roman"/>
        </w:rPr>
        <w:t>(blog). March 23, 2020. Available online: https://sarahwerner.substack.com/p/blanking-out.</w:t>
      </w:r>
    </w:p>
    <w:p w14:paraId="5CDC382E" w14:textId="77777777" w:rsidR="00CA54B4" w:rsidRPr="00DD343F" w:rsidRDefault="00CA54B4" w:rsidP="00CA54B4">
      <w:pPr>
        <w:spacing w:line="480" w:lineRule="auto"/>
        <w:rPr>
          <w:rFonts w:ascii="Times New Roman" w:hAnsi="Times New Roman" w:cs="Times New Roman"/>
          <w:b/>
        </w:rPr>
      </w:pPr>
    </w:p>
    <w:p w14:paraId="07641654" w14:textId="77777777" w:rsidR="00CA54B4" w:rsidRPr="00DD343F" w:rsidRDefault="00CA54B4" w:rsidP="00CA54B4">
      <w:pPr>
        <w:spacing w:line="480" w:lineRule="auto"/>
        <w:rPr>
          <w:rFonts w:ascii="Times New Roman" w:hAnsi="Times New Roman" w:cs="Times New Roman"/>
        </w:rPr>
        <w:sectPr w:rsidR="00CA54B4" w:rsidRPr="00DD343F" w:rsidSect="00FA5799">
          <w:footerReference w:type="even" r:id="rId7"/>
          <w:footerReference w:type="default" r:id="rId8"/>
          <w:endnotePr>
            <w:numFmt w:val="decimal"/>
            <w:numRestart w:val="eachSect"/>
          </w:endnotePr>
          <w:pgSz w:w="12240" w:h="15840"/>
          <w:pgMar w:top="1440" w:right="1440" w:bottom="1440" w:left="1440" w:header="720" w:footer="720" w:gutter="0"/>
          <w:pgNumType w:start="414"/>
          <w:cols w:space="720"/>
          <w:docGrid w:linePitch="360"/>
        </w:sectPr>
      </w:pPr>
    </w:p>
    <w:p w14:paraId="4B2D1383" w14:textId="77777777" w:rsidR="00784F7B" w:rsidRDefault="00784F7B"/>
    <w:sectPr w:rsidR="00784F7B" w:rsidSect="00FD1FD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18539C" w14:textId="77777777" w:rsidR="00565FE3" w:rsidRDefault="00565FE3" w:rsidP="00CA54B4">
      <w:r>
        <w:separator/>
      </w:r>
    </w:p>
  </w:endnote>
  <w:endnote w:type="continuationSeparator" w:id="0">
    <w:p w14:paraId="7834F391" w14:textId="77777777" w:rsidR="00565FE3" w:rsidRDefault="00565FE3" w:rsidP="00CA54B4">
      <w:r>
        <w:continuationSeparator/>
      </w:r>
    </w:p>
  </w:endnote>
  <w:endnote w:id="1">
    <w:p w14:paraId="25B95149"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“Othello,” in </w:t>
      </w:r>
      <w:r w:rsidRPr="00DD343F">
        <w:rPr>
          <w:rFonts w:ascii="Times New Roman" w:hAnsi="Times New Roman" w:cs="Times New Roman"/>
          <w:i/>
          <w:iCs/>
          <w:sz w:val="24"/>
          <w:szCs w:val="24"/>
        </w:rPr>
        <w:t>The Arden</w:t>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Shakespeare (Complete Works)</w:t>
      </w:r>
      <w:r w:rsidRPr="00DD343F">
        <w:rPr>
          <w:rFonts w:ascii="Times New Roman" w:hAnsi="Times New Roman" w:cs="Times New Roman"/>
          <w:sz w:val="24"/>
          <w:szCs w:val="24"/>
        </w:rPr>
        <w:t xml:space="preserve">, rev. edn, eds., Richard Proudfoot, Ann Thompson, David Scott Kastan, and R. H. Woudhuysan (London: Bloomsbury, 2011), 4.1.72-3. Unless otherwise stated, all subsequent references to Shakespeare’s plays and poems are taken from this edition of the Complete Works. </w:t>
      </w:r>
      <w:r w:rsidRPr="00EA0366">
        <w:rPr>
          <w:rFonts w:ascii="Times New Roman" w:hAnsi="Times New Roman" w:cs="Times New Roman"/>
          <w:sz w:val="24"/>
          <w:szCs w:val="24"/>
        </w:rPr>
        <w:t>See B.K. Adams’ chapter on FAIR / FOUL in this volume for more on the history and politics of these terms in Shakespeare studies.</w:t>
      </w:r>
      <w:r w:rsidRPr="00DD343F">
        <w:rPr>
          <w:rFonts w:ascii="Times New Roman" w:hAnsi="Times New Roman" w:cs="Times New Roman"/>
          <w:sz w:val="24"/>
          <w:szCs w:val="24"/>
        </w:rPr>
        <w:t xml:space="preserve"> </w:t>
      </w:r>
    </w:p>
  </w:endnote>
  <w:endnote w:id="2">
    <w:p w14:paraId="51701CE8"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“Othello,” 5.1.124. On the sizes, quality, and prices of paper, see James Daybell, </w:t>
      </w:r>
      <w:r w:rsidRPr="00DD343F">
        <w:rPr>
          <w:rFonts w:ascii="Times New Roman" w:hAnsi="Times New Roman" w:cs="Times New Roman"/>
          <w:i/>
          <w:iCs/>
          <w:sz w:val="24"/>
          <w:szCs w:val="24"/>
        </w:rPr>
        <w:t xml:space="preserve">The Material Letter in Early Modern England: Manuscript Letters and the Culture and Practice of Letter Writing, 1512-1635 </w:t>
      </w:r>
      <w:r w:rsidRPr="00DD343F">
        <w:rPr>
          <w:rFonts w:ascii="Times New Roman" w:hAnsi="Times New Roman" w:cs="Times New Roman"/>
          <w:sz w:val="24"/>
          <w:szCs w:val="24"/>
        </w:rPr>
        <w:t xml:space="preserve">(Houndsmill: Palgrave Macmillan, 2012), 34. Also see Douglas A. Brooks, </w:t>
      </w:r>
      <w:r w:rsidRPr="00DD343F">
        <w:rPr>
          <w:rFonts w:ascii="Times New Roman" w:hAnsi="Times New Roman" w:cs="Times New Roman"/>
          <w:i/>
          <w:iCs/>
          <w:sz w:val="24"/>
          <w:szCs w:val="24"/>
        </w:rPr>
        <w:t>Printing and Parenting in Early Modern England</w:t>
      </w:r>
      <w:r w:rsidRPr="00DD343F">
        <w:rPr>
          <w:rFonts w:ascii="Times New Roman" w:hAnsi="Times New Roman" w:cs="Times New Roman"/>
          <w:sz w:val="24"/>
          <w:szCs w:val="24"/>
        </w:rPr>
        <w:t xml:space="preserve"> (London: Routledge, 2005). </w:t>
      </w:r>
    </w:p>
  </w:endnote>
  <w:endnote w:id="3">
    <w:p w14:paraId="5511E3B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Simon Palfrey and Tiffany Stern, </w:t>
      </w:r>
      <w:r w:rsidRPr="00DD343F">
        <w:rPr>
          <w:rFonts w:ascii="Times New Roman" w:hAnsi="Times New Roman" w:cs="Times New Roman"/>
          <w:i/>
          <w:iCs/>
          <w:sz w:val="24"/>
          <w:szCs w:val="24"/>
        </w:rPr>
        <w:t>Shakespeare in Parts</w:t>
      </w:r>
      <w:r w:rsidRPr="00DD343F">
        <w:rPr>
          <w:rFonts w:ascii="Times New Roman" w:hAnsi="Times New Roman" w:cs="Times New Roman"/>
          <w:sz w:val="24"/>
          <w:szCs w:val="24"/>
        </w:rPr>
        <w:t xml:space="preserve"> (Oxford: Oxford University Press, 2007).</w:t>
      </w:r>
    </w:p>
  </w:endnote>
  <w:endnote w:id="4">
    <w:p w14:paraId="2A5AECB5"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Tiffany Stern, introduction to </w:t>
      </w:r>
      <w:r w:rsidRPr="00DD343F">
        <w:rPr>
          <w:rFonts w:ascii="Times New Roman" w:hAnsi="Times New Roman" w:cs="Times New Roman"/>
          <w:bCs/>
          <w:i/>
          <w:iCs/>
          <w:sz w:val="24"/>
          <w:szCs w:val="24"/>
          <w:lang w:val="en-US"/>
        </w:rPr>
        <w:t>Rethinking Theatrical Documents in Shakespeare’s England</w:t>
      </w:r>
      <w:r w:rsidRPr="00DD343F">
        <w:rPr>
          <w:rFonts w:ascii="Times New Roman" w:hAnsi="Times New Roman" w:cs="Times New Roman"/>
          <w:bCs/>
          <w:sz w:val="24"/>
          <w:szCs w:val="24"/>
          <w:lang w:val="en-US"/>
        </w:rPr>
        <w:t xml:space="preserve"> (London: Bloomsbury, 2020), 25-26. James Marino notes that, for the post-1660 period, it is likely that booksellers furnished playhouses with playbooks rather than the other way around (</w:t>
      </w:r>
      <w:r w:rsidRPr="00DD343F">
        <w:rPr>
          <w:rFonts w:ascii="Times New Roman" w:hAnsi="Times New Roman" w:cs="Times New Roman"/>
          <w:bCs/>
          <w:i/>
          <w:iCs/>
          <w:sz w:val="24"/>
          <w:szCs w:val="24"/>
          <w:lang w:val="en-US"/>
        </w:rPr>
        <w:t>Owning William Shakespeare: The King’s Men and their Intellectual Property</w:t>
      </w:r>
      <w:r w:rsidRPr="00DD343F">
        <w:rPr>
          <w:rFonts w:ascii="Times New Roman" w:hAnsi="Times New Roman" w:cs="Times New Roman"/>
          <w:bCs/>
          <w:sz w:val="24"/>
          <w:szCs w:val="24"/>
          <w:lang w:val="en-US"/>
        </w:rPr>
        <w:t xml:space="preserve"> [Philadelphia: University of Pennsylvania Press, 2011], 410.</w:t>
      </w:r>
    </w:p>
  </w:endnote>
  <w:endnote w:id="5">
    <w:p w14:paraId="7D3798D1"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Tiffany Stern, “‘On each Wall / And Corner Post’: Playbills, Title-pages, and Advertising in Early Modern London,” </w:t>
      </w:r>
      <w:r w:rsidRPr="00DD343F">
        <w:rPr>
          <w:rFonts w:ascii="Times New Roman" w:hAnsi="Times New Roman" w:cs="Times New Roman"/>
          <w:i/>
          <w:iCs/>
          <w:sz w:val="24"/>
          <w:szCs w:val="24"/>
        </w:rPr>
        <w:t>English Literary Renaissance</w:t>
      </w:r>
      <w:r w:rsidRPr="00DD343F">
        <w:rPr>
          <w:rFonts w:ascii="Times New Roman" w:hAnsi="Times New Roman" w:cs="Times New Roman"/>
          <w:sz w:val="24"/>
          <w:szCs w:val="24"/>
        </w:rPr>
        <w:t xml:space="preserve"> 36 (2006): 57-85; and “Shakespeare the Ballad Monger?” in </w:t>
      </w:r>
      <w:r w:rsidRPr="00DD343F">
        <w:rPr>
          <w:rFonts w:ascii="Times New Roman" w:hAnsi="Times New Roman" w:cs="Times New Roman"/>
          <w:bCs/>
          <w:i/>
          <w:iCs/>
          <w:sz w:val="24"/>
          <w:szCs w:val="24"/>
          <w:lang w:val="en-US"/>
        </w:rPr>
        <w:t>Rethinking Theatrical Documents</w:t>
      </w:r>
      <w:r w:rsidRPr="00DD343F">
        <w:rPr>
          <w:rFonts w:ascii="Times New Roman" w:hAnsi="Times New Roman" w:cs="Times New Roman"/>
          <w:bCs/>
          <w:sz w:val="24"/>
          <w:szCs w:val="24"/>
          <w:lang w:val="en-US"/>
        </w:rPr>
        <w:t xml:space="preserve">, 316-28; and </w:t>
      </w:r>
      <w:r w:rsidRPr="00DD343F">
        <w:rPr>
          <w:rFonts w:ascii="Times New Roman" w:hAnsi="Times New Roman" w:cs="Times New Roman"/>
          <w:i/>
          <w:iCs/>
          <w:sz w:val="24"/>
          <w:szCs w:val="24"/>
        </w:rPr>
        <w:t>Documents of Performance in Early Modern England</w:t>
      </w:r>
      <w:r w:rsidRPr="00DD343F">
        <w:rPr>
          <w:rFonts w:ascii="Times New Roman" w:hAnsi="Times New Roman" w:cs="Times New Roman"/>
          <w:sz w:val="24"/>
          <w:szCs w:val="24"/>
        </w:rPr>
        <w:t xml:space="preserve"> (Cambridge: Cambridge University Press, 2009).</w:t>
      </w:r>
    </w:p>
  </w:endnote>
  <w:endnote w:id="6">
    <w:p w14:paraId="58EE8B8D" w14:textId="0FE9F9D0"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sz w:val="24"/>
          <w:szCs w:val="24"/>
          <w:lang w:val="en-US"/>
        </w:rPr>
        <w:t xml:space="preserve">See Tiffany Stern, “Shakespeare the Ballad Monger,” 370; and “‘Fill thy Purse with Money’: Shareholders, Shakespeare and Theatrical Finance,” </w:t>
      </w:r>
      <w:r w:rsidRPr="00DD343F">
        <w:rPr>
          <w:rFonts w:ascii="Times New Roman" w:hAnsi="Times New Roman" w:cs="Times New Roman"/>
          <w:bCs/>
          <w:i/>
          <w:iCs/>
          <w:sz w:val="24"/>
          <w:szCs w:val="24"/>
          <w:lang w:val="en-US"/>
        </w:rPr>
        <w:t>Shakespeare Jahrbuch</w:t>
      </w:r>
      <w:r w:rsidRPr="00DD343F">
        <w:rPr>
          <w:rFonts w:ascii="Times New Roman" w:hAnsi="Times New Roman" w:cs="Times New Roman"/>
          <w:bCs/>
          <w:sz w:val="24"/>
          <w:szCs w:val="24"/>
          <w:lang w:val="en-US"/>
        </w:rPr>
        <w:t xml:space="preserve"> 150 (2014): 65–78. </w:t>
      </w:r>
      <w:r w:rsidRPr="00DD343F">
        <w:rPr>
          <w:rFonts w:ascii="Times New Roman" w:hAnsi="Times New Roman" w:cs="Times New Roman"/>
          <w:sz w:val="24"/>
          <w:szCs w:val="24"/>
        </w:rPr>
        <w:t xml:space="preserve">On paper recycling and the uses of “waste paper,” see the address to “The Draper Monsieur Pages of the Court” in Thomas Nashe’s 1594 </w:t>
      </w:r>
      <w:r w:rsidRPr="00DD343F">
        <w:rPr>
          <w:rFonts w:ascii="Times New Roman" w:hAnsi="Times New Roman" w:cs="Times New Roman"/>
          <w:i/>
          <w:iCs/>
          <w:sz w:val="24"/>
          <w:szCs w:val="24"/>
        </w:rPr>
        <w:t>The Unfortunate Traveller</w:t>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The Unfortunate Traveller and Other Works</w:t>
      </w:r>
      <w:r w:rsidRPr="00DD343F">
        <w:rPr>
          <w:rFonts w:ascii="Times New Roman" w:hAnsi="Times New Roman" w:cs="Times New Roman"/>
          <w:sz w:val="24"/>
          <w:szCs w:val="24"/>
        </w:rPr>
        <w:t xml:space="preserve">, ed. J.B. Steane [London: Penguin, 1985], 253); </w:t>
      </w:r>
      <w:r w:rsidR="001653FE">
        <w:rPr>
          <w:rFonts w:ascii="Times New Roman" w:hAnsi="Times New Roman" w:cs="Times New Roman"/>
          <w:sz w:val="24"/>
          <w:szCs w:val="24"/>
        </w:rPr>
        <w:t>and Heidi Craig,</w:t>
      </w:r>
      <w:r w:rsidR="00DA0B13">
        <w:rPr>
          <w:rFonts w:ascii="Times New Roman" w:hAnsi="Times New Roman" w:cs="Times New Roman"/>
          <w:sz w:val="24"/>
          <w:szCs w:val="24"/>
        </w:rPr>
        <w:t xml:space="preserve"> “English rag-women and early modern paper production,” in Valerie Wayne (ed.), </w:t>
      </w:r>
      <w:r w:rsidR="00DA0B13" w:rsidRPr="00FF2A45">
        <w:rPr>
          <w:rFonts w:ascii="Times New Roman" w:hAnsi="Times New Roman" w:cs="Times New Roman"/>
          <w:i/>
          <w:sz w:val="24"/>
          <w:szCs w:val="24"/>
        </w:rPr>
        <w:t>Women’s Labour and the History of the Book in Early Modern England</w:t>
      </w:r>
      <w:r w:rsidR="00DA0B13">
        <w:rPr>
          <w:rFonts w:ascii="Times New Roman" w:hAnsi="Times New Roman" w:cs="Times New Roman"/>
          <w:sz w:val="24"/>
          <w:szCs w:val="24"/>
        </w:rPr>
        <w:t xml:space="preserve"> (London: Bloomsbury, 2020), 29-46; </w:t>
      </w:r>
      <w:r w:rsidRPr="00DD343F">
        <w:rPr>
          <w:rFonts w:ascii="Times New Roman" w:hAnsi="Times New Roman" w:cs="Times New Roman"/>
          <w:sz w:val="24"/>
          <w:szCs w:val="24"/>
        </w:rPr>
        <w:t>on toilet facilities in early modern theatres, see John H. Astington, “Going at the theatre: toilet facilities in the early playhouses,” </w:t>
      </w:r>
      <w:r w:rsidRPr="00DD343F">
        <w:rPr>
          <w:rFonts w:ascii="Times New Roman" w:hAnsi="Times New Roman" w:cs="Times New Roman"/>
          <w:i/>
          <w:iCs/>
          <w:sz w:val="24"/>
          <w:szCs w:val="24"/>
        </w:rPr>
        <w:t>Theatre Notebook</w:t>
      </w:r>
      <w:r w:rsidRPr="00DD343F">
        <w:rPr>
          <w:rFonts w:ascii="Times New Roman" w:hAnsi="Times New Roman" w:cs="Times New Roman"/>
          <w:sz w:val="24"/>
          <w:szCs w:val="24"/>
        </w:rPr>
        <w:t xml:space="preserve"> 66 (2012): 98-105.</w:t>
      </w:r>
    </w:p>
  </w:endnote>
  <w:endnote w:id="7">
    <w:p w14:paraId="526C835A"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Claire M. L. Bourne on the potential ambiguity between what Hamlet writes and what Polonius says and how this letter was presented typographically in early print editions (“Dramatic Typography and the Restoration Quartos of </w:t>
      </w:r>
      <w:r w:rsidRPr="00DD343F">
        <w:rPr>
          <w:rFonts w:ascii="Times New Roman" w:hAnsi="Times New Roman" w:cs="Times New Roman"/>
          <w:i/>
          <w:iCs/>
          <w:sz w:val="24"/>
          <w:szCs w:val="24"/>
        </w:rPr>
        <w:t>Hamlet</w:t>
      </w:r>
      <w:r w:rsidRPr="00DD343F">
        <w:rPr>
          <w:rFonts w:ascii="Times New Roman" w:hAnsi="Times New Roman" w:cs="Times New Roman"/>
          <w:sz w:val="24"/>
          <w:szCs w:val="24"/>
        </w:rPr>
        <w:t xml:space="preserve">,” in </w:t>
      </w:r>
      <w:r w:rsidRPr="00DD343F">
        <w:rPr>
          <w:rFonts w:ascii="Times New Roman" w:hAnsi="Times New Roman" w:cs="Times New Roman"/>
          <w:i/>
          <w:iCs/>
          <w:sz w:val="24"/>
          <w:szCs w:val="24"/>
        </w:rPr>
        <w:t>Canonising Shakespeare: Stationers and the Book Trade, 1640-1740</w:t>
      </w:r>
      <w:r w:rsidRPr="00DD343F">
        <w:rPr>
          <w:rFonts w:ascii="Times New Roman" w:hAnsi="Times New Roman" w:cs="Times New Roman"/>
          <w:sz w:val="24"/>
          <w:szCs w:val="24"/>
        </w:rPr>
        <w:t>, eds, Emma Depledge and Peter Kirwan [Cambridge: Cambridge University Press, 2018], 153-70).</w:t>
      </w:r>
    </w:p>
  </w:endnote>
  <w:endnote w:id="8">
    <w:p w14:paraId="27F7F97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For an example of the latter see </w:t>
      </w:r>
      <w:r w:rsidRPr="00DD343F">
        <w:rPr>
          <w:rFonts w:ascii="Times New Roman" w:hAnsi="Times New Roman" w:cs="Times New Roman"/>
          <w:i/>
          <w:iCs/>
          <w:sz w:val="24"/>
          <w:szCs w:val="24"/>
        </w:rPr>
        <w:t>The Taming of the Shrew</w:t>
      </w:r>
      <w:r w:rsidRPr="00DD343F">
        <w:rPr>
          <w:rFonts w:ascii="Times New Roman" w:hAnsi="Times New Roman" w:cs="Times New Roman"/>
          <w:sz w:val="24"/>
          <w:szCs w:val="24"/>
        </w:rPr>
        <w:t>: “Take your paper too, / And let me have them very well perfum’d” (1.2.148-49).</w:t>
      </w:r>
    </w:p>
  </w:endnote>
  <w:endnote w:id="9">
    <w:p w14:paraId="6F297DE0"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i/>
          <w:sz w:val="24"/>
          <w:szCs w:val="24"/>
        </w:rPr>
        <w:t xml:space="preserve">Antony and Cleopatra, </w:t>
      </w:r>
      <w:r w:rsidRPr="00DD343F">
        <w:rPr>
          <w:rFonts w:ascii="Times New Roman" w:hAnsi="Times New Roman" w:cs="Times New Roman"/>
          <w:sz w:val="24"/>
          <w:szCs w:val="24"/>
        </w:rPr>
        <w:t xml:space="preserve">1.4.68, 79; </w:t>
      </w:r>
      <w:r w:rsidRPr="00DD343F">
        <w:rPr>
          <w:rFonts w:ascii="Times New Roman" w:hAnsi="Times New Roman" w:cs="Times New Roman"/>
          <w:i/>
          <w:iCs/>
          <w:sz w:val="24"/>
          <w:szCs w:val="24"/>
        </w:rPr>
        <w:t>Pericles</w:t>
      </w:r>
      <w:r w:rsidRPr="00DD343F">
        <w:rPr>
          <w:rFonts w:ascii="Times New Roman" w:hAnsi="Times New Roman" w:cs="Times New Roman"/>
          <w:sz w:val="24"/>
          <w:szCs w:val="24"/>
        </w:rPr>
        <w:t xml:space="preserve">, 3.1.65; </w:t>
      </w:r>
      <w:r w:rsidRPr="00DD343F">
        <w:rPr>
          <w:rFonts w:ascii="Times New Roman" w:hAnsi="Times New Roman" w:cs="Times New Roman"/>
          <w:i/>
          <w:iCs/>
          <w:sz w:val="24"/>
          <w:szCs w:val="24"/>
        </w:rPr>
        <w:t>Measure for Measure</w:t>
      </w:r>
      <w:r w:rsidRPr="00DD343F">
        <w:rPr>
          <w:rFonts w:ascii="Times New Roman" w:hAnsi="Times New Roman" w:cs="Times New Roman"/>
          <w:sz w:val="24"/>
          <w:szCs w:val="24"/>
        </w:rPr>
        <w:t xml:space="preserve">, 3.1.65; and </w:t>
      </w:r>
      <w:r w:rsidRPr="00DD343F">
        <w:rPr>
          <w:rFonts w:ascii="Times New Roman" w:hAnsi="Times New Roman" w:cs="Times New Roman"/>
          <w:i/>
          <w:iCs/>
          <w:sz w:val="24"/>
          <w:szCs w:val="24"/>
        </w:rPr>
        <w:t>Love’s Labour’s Lost</w:t>
      </w:r>
      <w:r w:rsidRPr="00DD343F">
        <w:rPr>
          <w:rFonts w:ascii="Times New Roman" w:hAnsi="Times New Roman" w:cs="Times New Roman"/>
          <w:sz w:val="24"/>
          <w:szCs w:val="24"/>
        </w:rPr>
        <w:t>, 5.2.7-8.</w:t>
      </w:r>
      <w:r w:rsidRPr="00DD343F">
        <w:rPr>
          <w:rFonts w:ascii="Times New Roman" w:hAnsi="Times New Roman" w:cs="Times New Roman"/>
          <w:sz w:val="24"/>
          <w:szCs w:val="24"/>
          <w:highlight w:val="yellow"/>
        </w:rPr>
        <w:t xml:space="preserve"> </w:t>
      </w:r>
    </w:p>
  </w:endnote>
  <w:endnote w:id="10">
    <w:p w14:paraId="25CEF70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Alan Stewart, </w:t>
      </w:r>
      <w:r w:rsidRPr="00DD343F">
        <w:rPr>
          <w:rFonts w:ascii="Times New Roman" w:hAnsi="Times New Roman" w:cs="Times New Roman"/>
          <w:i/>
          <w:iCs/>
          <w:sz w:val="24"/>
          <w:szCs w:val="24"/>
        </w:rPr>
        <w:t>Shakespeare’s Letters</w:t>
      </w:r>
      <w:r w:rsidRPr="00DD343F">
        <w:rPr>
          <w:rFonts w:ascii="Times New Roman" w:hAnsi="Times New Roman" w:cs="Times New Roman"/>
          <w:sz w:val="24"/>
          <w:szCs w:val="24"/>
        </w:rPr>
        <w:t xml:space="preserve"> (Oxford: Oxford University Press, 2008), 300. </w:t>
      </w:r>
    </w:p>
  </w:endnote>
  <w:endnote w:id="11">
    <w:p w14:paraId="1DD5EE0B" w14:textId="02252FE2" w:rsidR="00E26E0C" w:rsidRDefault="00E26E0C">
      <w:pPr>
        <w:pStyle w:val="EndnoteText"/>
        <w:rPr>
          <w:rFonts w:ascii="Times New Roman" w:hAnsi="Times New Roman" w:cs="Times New Roman"/>
          <w:sz w:val="24"/>
          <w:szCs w:val="24"/>
          <w:lang w:val="fr-CH"/>
        </w:rPr>
      </w:pPr>
      <w:r w:rsidRPr="00E26E0C">
        <w:rPr>
          <w:rStyle w:val="EndnoteReference"/>
          <w:rFonts w:cs="Times New Roman"/>
          <w:szCs w:val="24"/>
        </w:rPr>
        <w:endnoteRef/>
      </w:r>
      <w:r w:rsidRPr="00E26E0C">
        <w:rPr>
          <w:rFonts w:ascii="Times New Roman" w:hAnsi="Times New Roman" w:cs="Times New Roman"/>
          <w:sz w:val="24"/>
          <w:szCs w:val="24"/>
        </w:rPr>
        <w:t xml:space="preserve"> </w:t>
      </w:r>
      <w:r w:rsidRPr="00E26E0C">
        <w:rPr>
          <w:rFonts w:ascii="Times New Roman" w:hAnsi="Times New Roman" w:cs="Times New Roman"/>
          <w:sz w:val="24"/>
          <w:szCs w:val="24"/>
          <w:lang w:val="fr-CH"/>
        </w:rPr>
        <w:t xml:space="preserve">See Miles P. Grier’s analysis of </w:t>
      </w:r>
      <w:r w:rsidR="0052689B">
        <w:rPr>
          <w:rFonts w:ascii="Times New Roman" w:hAnsi="Times New Roman" w:cs="Times New Roman"/>
          <w:sz w:val="24"/>
          <w:szCs w:val="24"/>
          <w:lang w:val="fr-CH"/>
        </w:rPr>
        <w:t xml:space="preserve">what he terms </w:t>
      </w:r>
      <w:r w:rsidR="0052689B" w:rsidRPr="0052689B">
        <w:rPr>
          <w:rFonts w:ascii="Times New Roman" w:hAnsi="Times New Roman" w:cs="Times New Roman"/>
          <w:sz w:val="24"/>
          <w:szCs w:val="24"/>
          <w:lang w:val="en-US"/>
        </w:rPr>
        <w:t>“</w:t>
      </w:r>
      <w:r w:rsidR="0052689B">
        <w:rPr>
          <w:rFonts w:ascii="Times New Roman" w:hAnsi="Times New Roman" w:cs="Times New Roman"/>
          <w:sz w:val="24"/>
          <w:szCs w:val="24"/>
          <w:lang w:val="fr-CH"/>
        </w:rPr>
        <w:t>inkface,</w:t>
      </w:r>
      <w:r w:rsidR="0052689B" w:rsidRPr="0052689B">
        <w:rPr>
          <w:rFonts w:ascii="Times New Roman" w:hAnsi="Times New Roman" w:cs="Times New Roman"/>
          <w:sz w:val="24"/>
          <w:szCs w:val="24"/>
          <w:lang w:val="en-US"/>
        </w:rPr>
        <w:t>”</w:t>
      </w:r>
      <w:r w:rsidR="0052689B">
        <w:rPr>
          <w:rFonts w:ascii="Times New Roman" w:hAnsi="Times New Roman" w:cs="Times New Roman"/>
          <w:sz w:val="24"/>
          <w:szCs w:val="24"/>
          <w:lang w:val="fr-CH"/>
        </w:rPr>
        <w:t xml:space="preserve"> and </w:t>
      </w:r>
      <w:r w:rsidR="0052689B" w:rsidRPr="0052689B">
        <w:rPr>
          <w:rFonts w:ascii="Times New Roman" w:hAnsi="Times New Roman" w:cs="Times New Roman"/>
          <w:sz w:val="24"/>
          <w:szCs w:val="24"/>
          <w:lang w:val="en-US"/>
        </w:rPr>
        <w:t>“</w:t>
      </w:r>
      <w:r w:rsidRPr="00E26E0C">
        <w:rPr>
          <w:rFonts w:ascii="Times New Roman" w:hAnsi="Times New Roman" w:cs="Times New Roman"/>
          <w:sz w:val="24"/>
          <w:szCs w:val="24"/>
          <w:lang w:val="fr-CH"/>
        </w:rPr>
        <w:t>the characters of typeface and blackface</w:t>
      </w:r>
      <w:r w:rsidR="0052689B" w:rsidRPr="0052689B">
        <w:rPr>
          <w:rFonts w:ascii="Times New Roman" w:hAnsi="Times New Roman" w:cs="Times New Roman"/>
          <w:sz w:val="24"/>
          <w:szCs w:val="24"/>
          <w:lang w:val="en-US"/>
        </w:rPr>
        <w:t xml:space="preserve">” </w:t>
      </w:r>
      <w:r w:rsidRPr="00E26E0C">
        <w:rPr>
          <w:rFonts w:ascii="Times New Roman" w:hAnsi="Times New Roman" w:cs="Times New Roman"/>
          <w:sz w:val="24"/>
          <w:szCs w:val="24"/>
          <w:lang w:val="fr-CH"/>
        </w:rPr>
        <w:t>in this volume.</w:t>
      </w:r>
    </w:p>
    <w:p w14:paraId="1F26FDEB" w14:textId="77777777" w:rsidR="00E26E0C" w:rsidRPr="00E26E0C" w:rsidRDefault="00E26E0C">
      <w:pPr>
        <w:pStyle w:val="EndnoteText"/>
        <w:rPr>
          <w:rFonts w:ascii="Times New Roman" w:hAnsi="Times New Roman" w:cs="Times New Roman"/>
          <w:sz w:val="24"/>
          <w:szCs w:val="24"/>
          <w:lang w:val="fr-CH"/>
        </w:rPr>
      </w:pPr>
    </w:p>
  </w:endnote>
  <w:endnote w:id="12">
    <w:p w14:paraId="0FE8B785"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The Merchant of Venice</w:t>
      </w:r>
      <w:r w:rsidRPr="00DD343F">
        <w:rPr>
          <w:rFonts w:ascii="Times New Roman" w:hAnsi="Times New Roman" w:cs="Times New Roman"/>
          <w:sz w:val="24"/>
          <w:szCs w:val="24"/>
        </w:rPr>
        <w:t xml:space="preserve">, 2.4.12-14; and </w:t>
      </w:r>
      <w:r w:rsidRPr="00DD343F">
        <w:rPr>
          <w:rFonts w:ascii="Times New Roman" w:hAnsi="Times New Roman" w:cs="Times New Roman"/>
          <w:i/>
          <w:iCs/>
          <w:sz w:val="24"/>
          <w:szCs w:val="24"/>
        </w:rPr>
        <w:t>Troilus and Cressida</w:t>
      </w:r>
      <w:r w:rsidRPr="00DD343F">
        <w:rPr>
          <w:rFonts w:ascii="Times New Roman" w:hAnsi="Times New Roman" w:cs="Times New Roman"/>
          <w:bCs/>
          <w:sz w:val="24"/>
          <w:szCs w:val="24"/>
        </w:rPr>
        <w:t>, 1.1.55-56.</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 xml:space="preserve">See Mitchell M. Harris, “The Expense of Ink and Wastes of Shame: Poetic Generation, Black Ink, and Material Waste in Shakespeare’s Sonnets,” in </w:t>
      </w:r>
      <w:r w:rsidRPr="00DD343F">
        <w:rPr>
          <w:rFonts w:ascii="Times New Roman" w:hAnsi="Times New Roman" w:cs="Times New Roman"/>
          <w:i/>
          <w:iCs/>
          <w:sz w:val="24"/>
          <w:szCs w:val="24"/>
        </w:rPr>
        <w:t>The Materiality of Colour: The Production, Circulation and Application of Dyes and Pigments, 1400-1800</w:t>
      </w:r>
      <w:r w:rsidRPr="00DD343F">
        <w:rPr>
          <w:rFonts w:ascii="Times New Roman" w:hAnsi="Times New Roman" w:cs="Times New Roman"/>
          <w:sz w:val="24"/>
          <w:szCs w:val="24"/>
        </w:rPr>
        <w:t>, eds, Andrea Feeser, et al. (London: Routledge, 2016), 65-80.</w:t>
      </w:r>
    </w:p>
  </w:endnote>
  <w:endnote w:id="13">
    <w:p w14:paraId="6DD51E3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sz w:val="24"/>
          <w:szCs w:val="24"/>
          <w:lang w:val="en-US"/>
        </w:rPr>
        <w:t xml:space="preserve">Kim F. Hall, </w:t>
      </w:r>
      <w:r w:rsidRPr="00DD343F">
        <w:rPr>
          <w:rFonts w:ascii="Times New Roman" w:hAnsi="Times New Roman" w:cs="Times New Roman"/>
          <w:bCs/>
          <w:i/>
          <w:iCs/>
          <w:sz w:val="24"/>
          <w:szCs w:val="24"/>
          <w:lang w:val="en-US"/>
        </w:rPr>
        <w:t>Things of Darkness: Economies of Race and Gender in Early Modern England</w:t>
      </w:r>
      <w:r w:rsidRPr="00DD343F">
        <w:rPr>
          <w:rFonts w:ascii="Times New Roman" w:hAnsi="Times New Roman" w:cs="Times New Roman"/>
          <w:bCs/>
          <w:sz w:val="24"/>
          <w:szCs w:val="24"/>
          <w:lang w:val="en-US"/>
        </w:rPr>
        <w:t xml:space="preserve"> (Ithaca: Cornell University Press, 1995), 2.</w:t>
      </w:r>
    </w:p>
  </w:endnote>
  <w:endnote w:id="14">
    <w:p w14:paraId="23F506F6"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en-US"/>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sz w:val="24"/>
          <w:szCs w:val="24"/>
          <w:lang w:val="en-US"/>
        </w:rPr>
        <w:t>Ibid., 266.</w:t>
      </w:r>
    </w:p>
  </w:endnote>
  <w:endnote w:id="15">
    <w:p w14:paraId="0A18E34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Much Ado about Nothing</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4.1.139-40.</w:t>
      </w:r>
    </w:p>
  </w:endnote>
  <w:endnote w:id="16">
    <w:p w14:paraId="77D33749"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Lucrece</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1289-90.</w:t>
      </w:r>
    </w:p>
  </w:endnote>
  <w:endnote w:id="17">
    <w:p w14:paraId="7CFCE354"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Ibid.,</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1315-16.</w:t>
      </w:r>
    </w:p>
  </w:endnote>
  <w:endnote w:id="18">
    <w:p w14:paraId="0CA9F871"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Ibid.,</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1322-23, emphasis mine.</w:t>
      </w:r>
    </w:p>
  </w:endnote>
  <w:endnote w:id="19">
    <w:p w14:paraId="6FACC251" w14:textId="77777777" w:rsidR="00CA54B4" w:rsidRPr="00DD343F" w:rsidRDefault="00CA54B4" w:rsidP="00CA54B4">
      <w:pPr>
        <w:pStyle w:val="EndnoteText"/>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Ibid., 1297-99.</w:t>
      </w:r>
    </w:p>
    <w:p w14:paraId="51A79144" w14:textId="77777777" w:rsidR="00CA54B4" w:rsidRPr="00DD343F" w:rsidRDefault="00CA54B4" w:rsidP="00CA54B4">
      <w:pPr>
        <w:pStyle w:val="EndnoteText"/>
        <w:rPr>
          <w:rFonts w:ascii="Times New Roman" w:hAnsi="Times New Roman" w:cs="Times New Roman"/>
          <w:sz w:val="24"/>
          <w:szCs w:val="24"/>
        </w:rPr>
      </w:pPr>
    </w:p>
  </w:endnote>
  <w:endnote w:id="20">
    <w:p w14:paraId="247CB0A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Ibid., 807-12. </w:t>
      </w:r>
    </w:p>
  </w:endnote>
  <w:endnote w:id="21">
    <w:p w14:paraId="5E91AD10"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Macbeth</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4.3.5-8.</w:t>
      </w:r>
    </w:p>
  </w:endnote>
  <w:endnote w:id="22">
    <w:p w14:paraId="15A93A1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Much Ado</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2.3.139-46.</w:t>
      </w:r>
    </w:p>
  </w:endnote>
  <w:endnote w:id="23">
    <w:p w14:paraId="182596AA" w14:textId="77777777" w:rsidR="00CA54B4" w:rsidRPr="00DD343F" w:rsidRDefault="00CA54B4" w:rsidP="00CA54B4">
      <w:pPr>
        <w:pStyle w:val="EndnoteText"/>
        <w:adjustRightInd w:val="0"/>
        <w:snapToGrid w:val="0"/>
        <w:spacing w:line="480" w:lineRule="auto"/>
        <w:rPr>
          <w:rFonts w:ascii="Times New Roman" w:hAnsi="Times New Roman" w:cs="Times New Roman"/>
          <w:i/>
          <w:iCs/>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Jonas Barish, “‘Soft, Here Follows Prose’: Shakespeare’s Stage Documents,” in </w:t>
      </w:r>
      <w:r w:rsidRPr="00DD343F">
        <w:rPr>
          <w:rFonts w:ascii="Times New Roman" w:hAnsi="Times New Roman" w:cs="Times New Roman"/>
          <w:i/>
          <w:iCs/>
          <w:sz w:val="24"/>
          <w:szCs w:val="24"/>
        </w:rPr>
        <w:t>The Arts of Performance in Elizabethan and Early Stuart Drama: Essays for G. K. Hunter</w:t>
      </w:r>
      <w:r w:rsidRPr="00DD343F">
        <w:rPr>
          <w:rFonts w:ascii="Times New Roman" w:hAnsi="Times New Roman" w:cs="Times New Roman"/>
          <w:sz w:val="24"/>
          <w:szCs w:val="24"/>
        </w:rPr>
        <w:t>, eds Murray Biggs et al.</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 xml:space="preserve">(Edinburgh; Edinburgh University Press, 1991), 32-48, 47. </w:t>
      </w:r>
    </w:p>
  </w:endnote>
  <w:endnote w:id="24">
    <w:p w14:paraId="7511AE3A"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For the ring covering, see </w:t>
      </w:r>
      <w:r w:rsidRPr="00DD343F">
        <w:rPr>
          <w:rFonts w:ascii="Times New Roman" w:hAnsi="Times New Roman" w:cs="Times New Roman"/>
          <w:i/>
          <w:iCs/>
          <w:sz w:val="24"/>
          <w:szCs w:val="24"/>
        </w:rPr>
        <w:t>All’s Well That Ends Well</w:t>
      </w:r>
      <w:r w:rsidRPr="00DD343F">
        <w:rPr>
          <w:rFonts w:ascii="Times New Roman" w:hAnsi="Times New Roman" w:cs="Times New Roman"/>
          <w:sz w:val="24"/>
          <w:szCs w:val="24"/>
        </w:rPr>
        <w:t>, 5.3.101-17.</w:t>
      </w:r>
    </w:p>
  </w:endnote>
  <w:endnote w:id="25">
    <w:p w14:paraId="4255E94C"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sz w:val="24"/>
          <w:szCs w:val="24"/>
          <w:lang w:val="en-US"/>
        </w:rPr>
        <w:t xml:space="preserve">Nina da Vinci Nichols, </w:t>
      </w:r>
      <w:r w:rsidRPr="00DD343F">
        <w:rPr>
          <w:rFonts w:ascii="Times New Roman" w:hAnsi="Times New Roman" w:cs="Times New Roman"/>
          <w:sz w:val="24"/>
          <w:szCs w:val="24"/>
        </w:rPr>
        <w:t xml:space="preserve">“The Paper Trail to the Throne,” in </w:t>
      </w:r>
      <w:r w:rsidRPr="00DD343F">
        <w:rPr>
          <w:rFonts w:ascii="Times New Roman" w:hAnsi="Times New Roman" w:cs="Times New Roman"/>
          <w:i/>
          <w:iCs/>
          <w:sz w:val="24"/>
          <w:szCs w:val="24"/>
        </w:rPr>
        <w:t>Henry VI: Critical Essays</w:t>
      </w:r>
      <w:r w:rsidRPr="00DD343F">
        <w:rPr>
          <w:rFonts w:ascii="Times New Roman" w:hAnsi="Times New Roman" w:cs="Times New Roman"/>
          <w:sz w:val="24"/>
          <w:szCs w:val="24"/>
        </w:rPr>
        <w:t>, ed., Thomas A. Pendleton (London: Routledge, 2001), 97.</w:t>
      </w:r>
    </w:p>
  </w:endnote>
  <w:endnote w:id="26">
    <w:p w14:paraId="74E3D6C2" w14:textId="77777777" w:rsidR="00CA54B4" w:rsidRPr="00DD343F" w:rsidRDefault="00CA54B4" w:rsidP="00CA54B4">
      <w:pPr>
        <w:pStyle w:val="EndnoteText"/>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i/>
          <w:iCs/>
          <w:sz w:val="24"/>
          <w:szCs w:val="24"/>
          <w:lang w:val="en-US"/>
        </w:rPr>
        <w:t>Henry VI, Part 3</w:t>
      </w:r>
      <w:r w:rsidRPr="00DD343F">
        <w:rPr>
          <w:rFonts w:ascii="Times New Roman" w:hAnsi="Times New Roman" w:cs="Times New Roman"/>
          <w:bCs/>
          <w:sz w:val="24"/>
          <w:szCs w:val="24"/>
          <w:lang w:val="en-US"/>
        </w:rPr>
        <w:t xml:space="preserve">, </w:t>
      </w:r>
      <w:r w:rsidRPr="00DD343F">
        <w:rPr>
          <w:rFonts w:ascii="Times New Roman" w:hAnsi="Times New Roman" w:cs="Times New Roman"/>
          <w:sz w:val="24"/>
          <w:szCs w:val="24"/>
        </w:rPr>
        <w:t>1.4.92.</w:t>
      </w:r>
    </w:p>
    <w:p w14:paraId="63B2BB9F" w14:textId="77777777" w:rsidR="00CA54B4" w:rsidRPr="00DD343F" w:rsidRDefault="00CA54B4" w:rsidP="00CA54B4">
      <w:pPr>
        <w:pStyle w:val="EndnoteText"/>
        <w:rPr>
          <w:rFonts w:ascii="Times New Roman" w:hAnsi="Times New Roman" w:cs="Times New Roman"/>
          <w:sz w:val="24"/>
          <w:szCs w:val="24"/>
        </w:rPr>
      </w:pPr>
    </w:p>
  </w:endnote>
  <w:endnote w:id="27">
    <w:p w14:paraId="5AD4B95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This suggestion was made by John Cutts in </w:t>
      </w:r>
      <w:r w:rsidRPr="00DD343F">
        <w:rPr>
          <w:rFonts w:ascii="Times New Roman" w:hAnsi="Times New Roman" w:cs="Times New Roman"/>
          <w:i/>
          <w:iCs/>
          <w:sz w:val="24"/>
          <w:szCs w:val="24"/>
        </w:rPr>
        <w:t>The Shattered Glass: A Dramatic Pattern in Shakespeare’s Early Plays</w:t>
      </w:r>
      <w:r w:rsidRPr="00DD343F">
        <w:rPr>
          <w:rFonts w:ascii="Times New Roman" w:hAnsi="Times New Roman" w:cs="Times New Roman"/>
          <w:sz w:val="24"/>
          <w:szCs w:val="24"/>
        </w:rPr>
        <w:t xml:space="preserve"> (Wayne State University Press, 1968), as cited in da Vinci Nichols, “The Paper Trail,” 107.</w:t>
      </w:r>
    </w:p>
  </w:endnote>
  <w:endnote w:id="28">
    <w:p w14:paraId="2DD85FF5"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For more on the significance and use of paper in the Henry VI plays, see da Vinci Nichols, “The Paper Trail.” The paper crown has a basis in historical sources, with the head of Richard of York said to have been displayed along with the paper crown at the Micklegate Bar entrance to the city of York. See John Cannon and Anne Hargreaves, </w:t>
      </w:r>
      <w:r w:rsidRPr="00DD343F">
        <w:rPr>
          <w:rFonts w:ascii="Times New Roman" w:hAnsi="Times New Roman" w:cs="Times New Roman"/>
          <w:i/>
          <w:iCs/>
          <w:sz w:val="24"/>
          <w:szCs w:val="24"/>
        </w:rPr>
        <w:t>The Kings and Queens of Britain</w:t>
      </w:r>
      <w:r w:rsidRPr="00DD343F">
        <w:rPr>
          <w:rFonts w:ascii="Times New Roman" w:hAnsi="Times New Roman" w:cs="Times New Roman"/>
          <w:sz w:val="24"/>
          <w:szCs w:val="24"/>
        </w:rPr>
        <w:t xml:space="preserve"> (Oxford: Oxford University Press, 2001), 236.</w:t>
      </w:r>
    </w:p>
  </w:endnote>
  <w:endnote w:id="29">
    <w:p w14:paraId="60E609CD"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Alan </w:t>
      </w:r>
      <w:r w:rsidRPr="00DD343F">
        <w:rPr>
          <w:rFonts w:ascii="Times New Roman" w:hAnsi="Times New Roman" w:cs="Times New Roman"/>
          <w:bCs/>
          <w:sz w:val="24"/>
          <w:szCs w:val="24"/>
          <w:lang w:val="en-US"/>
        </w:rPr>
        <w:t>Dessen and Leslie Thomson count one hundred and thirty examples of books called for in stage directions to plays from 1580 to 1642 (</w:t>
      </w:r>
      <w:r w:rsidRPr="00DD343F">
        <w:rPr>
          <w:rFonts w:ascii="Times New Roman" w:hAnsi="Times New Roman" w:cs="Times New Roman"/>
          <w:i/>
          <w:iCs/>
          <w:sz w:val="24"/>
          <w:szCs w:val="24"/>
        </w:rPr>
        <w:t>A Dictionary of Stage Directions in English Drama, 1580-1642</w:t>
      </w:r>
      <w:r w:rsidRPr="00DD343F">
        <w:rPr>
          <w:rFonts w:ascii="Times New Roman" w:hAnsi="Times New Roman" w:cs="Times New Roman"/>
          <w:sz w:val="24"/>
          <w:szCs w:val="24"/>
        </w:rPr>
        <w:t xml:space="preserve"> [Cambridge: Cambridge University Press, 1999]: 34-35). Also see Sarah Wall-Randell’s calculations—based on data taken from </w:t>
      </w:r>
      <w:r w:rsidRPr="00DD343F">
        <w:rPr>
          <w:rFonts w:ascii="Times New Roman" w:hAnsi="Times New Roman" w:cs="Times New Roman"/>
          <w:bCs/>
          <w:sz w:val="24"/>
          <w:szCs w:val="24"/>
          <w:lang w:val="en-US"/>
        </w:rPr>
        <w:t xml:space="preserve">Martin Wiggins and Catherine Richardson’s </w:t>
      </w:r>
      <w:r w:rsidRPr="00DD343F">
        <w:rPr>
          <w:rFonts w:ascii="Times New Roman" w:hAnsi="Times New Roman" w:cs="Times New Roman"/>
          <w:bCs/>
          <w:i/>
          <w:iCs/>
          <w:sz w:val="24"/>
          <w:szCs w:val="24"/>
          <w:lang w:val="en-US"/>
        </w:rPr>
        <w:t>British Drama 1533–1642: A Catalogue</w:t>
      </w:r>
      <w:r w:rsidRPr="00DD343F">
        <w:rPr>
          <w:rFonts w:ascii="Times New Roman" w:hAnsi="Times New Roman" w:cs="Times New Roman"/>
          <w:bCs/>
          <w:sz w:val="24"/>
          <w:szCs w:val="24"/>
          <w:lang w:val="en-US"/>
        </w:rPr>
        <w:t xml:space="preserve"> (Oxford: Oxford University Press, 2012)—in “</w:t>
      </w:r>
      <w:r w:rsidRPr="00DD343F">
        <w:rPr>
          <w:rFonts w:ascii="Times New Roman" w:hAnsi="Times New Roman" w:cs="Times New Roman"/>
          <w:bCs/>
          <w:sz w:val="24"/>
          <w:szCs w:val="24"/>
        </w:rPr>
        <w:t xml:space="preserve">What is a Staged Book? Books as ‘Actors’ in the Early Modern English Theatre,” </w:t>
      </w:r>
      <w:r w:rsidRPr="00DD343F">
        <w:rPr>
          <w:rFonts w:ascii="Times New Roman" w:hAnsi="Times New Roman" w:cs="Times New Roman"/>
          <w:bCs/>
          <w:sz w:val="24"/>
          <w:szCs w:val="24"/>
          <w:lang w:val="en-US"/>
        </w:rPr>
        <w:t xml:space="preserve">in </w:t>
      </w:r>
      <w:r w:rsidRPr="00DD343F">
        <w:rPr>
          <w:rFonts w:ascii="Times New Roman" w:hAnsi="Times New Roman" w:cs="Times New Roman"/>
          <w:bCs/>
          <w:i/>
          <w:iCs/>
          <w:sz w:val="24"/>
          <w:szCs w:val="24"/>
          <w:lang w:val="en-US"/>
        </w:rPr>
        <w:t>Rethinking Theatrical Documents</w:t>
      </w:r>
      <w:r w:rsidRPr="00DD343F">
        <w:rPr>
          <w:rFonts w:ascii="Times New Roman" w:hAnsi="Times New Roman" w:cs="Times New Roman"/>
          <w:bCs/>
          <w:sz w:val="24"/>
          <w:szCs w:val="24"/>
          <w:lang w:val="en-US"/>
        </w:rPr>
        <w:t>,</w:t>
      </w:r>
      <w:r w:rsidRPr="00DD343F">
        <w:rPr>
          <w:rFonts w:ascii="Times New Roman" w:hAnsi="Times New Roman" w:cs="Times New Roman"/>
          <w:bCs/>
          <w:i/>
          <w:iCs/>
          <w:sz w:val="24"/>
          <w:szCs w:val="24"/>
          <w:lang w:val="en-US"/>
        </w:rPr>
        <w:t xml:space="preserve"> </w:t>
      </w:r>
      <w:r w:rsidRPr="00DD343F">
        <w:rPr>
          <w:rFonts w:ascii="Times New Roman" w:hAnsi="Times New Roman" w:cs="Times New Roman"/>
          <w:bCs/>
          <w:sz w:val="24"/>
          <w:szCs w:val="24"/>
          <w:lang w:val="en-US"/>
        </w:rPr>
        <w:t>219-20.</w:t>
      </w:r>
    </w:p>
  </w:endnote>
  <w:endnote w:id="30">
    <w:p w14:paraId="7412E878" w14:textId="77777777" w:rsidR="00CA54B4" w:rsidRPr="00DD343F" w:rsidRDefault="00CA54B4" w:rsidP="00CA54B4">
      <w:pPr>
        <w:pStyle w:val="EndnoteText"/>
        <w:adjustRightInd w:val="0"/>
        <w:snapToGrid w:val="0"/>
        <w:spacing w:line="480" w:lineRule="auto"/>
        <w:rPr>
          <w:rFonts w:ascii="Times New Roman" w:hAnsi="Times New Roman" w:cs="Times New Roman"/>
          <w:bCs/>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also the reference to </w:t>
      </w:r>
      <w:r w:rsidRPr="00DD343F">
        <w:rPr>
          <w:rFonts w:ascii="Times New Roman" w:hAnsi="Times New Roman" w:cs="Times New Roman"/>
          <w:bCs/>
          <w:sz w:val="24"/>
          <w:szCs w:val="24"/>
        </w:rPr>
        <w:t>Brutus’ bedtime reading “</w:t>
      </w:r>
      <w:bookmarkStart w:id="0" w:name="4.3.309"/>
      <w:r w:rsidRPr="00DD343F">
        <w:rPr>
          <w:rFonts w:ascii="Times New Roman" w:hAnsi="Times New Roman" w:cs="Times New Roman"/>
          <w:bCs/>
          <w:sz w:val="24"/>
          <w:szCs w:val="24"/>
        </w:rPr>
        <w:t>is not the leaf turn’d down</w:t>
      </w:r>
      <w:bookmarkStart w:id="1" w:name="4.3.310"/>
      <w:bookmarkEnd w:id="0"/>
      <w:r w:rsidRPr="00DD343F">
        <w:rPr>
          <w:rFonts w:ascii="Times New Roman" w:hAnsi="Times New Roman" w:cs="Times New Roman"/>
          <w:bCs/>
          <w:sz w:val="24"/>
          <w:szCs w:val="24"/>
        </w:rPr>
        <w:t xml:space="preserve"> / Where I left reading? Here it is, I think</w:t>
      </w:r>
      <w:bookmarkEnd w:id="1"/>
      <w:r w:rsidRPr="00DD343F">
        <w:rPr>
          <w:rFonts w:ascii="Times New Roman" w:hAnsi="Times New Roman" w:cs="Times New Roman"/>
          <w:bCs/>
          <w:sz w:val="24"/>
          <w:szCs w:val="24"/>
        </w:rPr>
        <w:t xml:space="preserve">” in </w:t>
      </w:r>
      <w:r w:rsidRPr="00DD343F">
        <w:rPr>
          <w:rFonts w:ascii="Times New Roman" w:hAnsi="Times New Roman" w:cs="Times New Roman"/>
          <w:bCs/>
          <w:i/>
          <w:iCs/>
          <w:sz w:val="24"/>
          <w:szCs w:val="24"/>
        </w:rPr>
        <w:t>Julius Caesar</w:t>
      </w:r>
      <w:r w:rsidRPr="00DD343F">
        <w:rPr>
          <w:rFonts w:ascii="Times New Roman" w:hAnsi="Times New Roman" w:cs="Times New Roman"/>
          <w:bCs/>
          <w:sz w:val="24"/>
          <w:szCs w:val="24"/>
        </w:rPr>
        <w:t>, 4.3.272-73.</w:t>
      </w:r>
    </w:p>
  </w:endnote>
  <w:endnote w:id="31">
    <w:p w14:paraId="146D2C1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Cymbeline</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3.2.44-6.</w:t>
      </w:r>
    </w:p>
  </w:endnote>
  <w:endnote w:id="32">
    <w:p w14:paraId="3B4263B9"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Titus</w:t>
      </w:r>
      <w:r w:rsidRPr="00DD343F">
        <w:rPr>
          <w:rFonts w:ascii="Times New Roman" w:hAnsi="Times New Roman" w:cs="Times New Roman"/>
          <w:sz w:val="24"/>
          <w:szCs w:val="24"/>
        </w:rPr>
        <w:t>, 4.1.47-8.</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 xml:space="preserve">On books in Shakespeare’s plays, see Charlotte Scott, </w:t>
      </w:r>
      <w:r w:rsidRPr="00DD343F">
        <w:rPr>
          <w:rFonts w:ascii="Times New Roman" w:hAnsi="Times New Roman" w:cs="Times New Roman"/>
          <w:i/>
          <w:iCs/>
          <w:sz w:val="24"/>
          <w:szCs w:val="24"/>
        </w:rPr>
        <w:t>Shakespeare and the Idea of the Book</w:t>
      </w:r>
      <w:r w:rsidRPr="00DD343F">
        <w:rPr>
          <w:rFonts w:ascii="Times New Roman" w:hAnsi="Times New Roman" w:cs="Times New Roman"/>
          <w:sz w:val="24"/>
          <w:szCs w:val="24"/>
        </w:rPr>
        <w:t xml:space="preserve"> (Oxford: Oxford University Press, 2007); </w:t>
      </w:r>
      <w:r w:rsidRPr="00DD343F">
        <w:rPr>
          <w:rFonts w:ascii="Times New Roman" w:hAnsi="Times New Roman" w:cs="Times New Roman"/>
          <w:bCs/>
          <w:sz w:val="24"/>
          <w:szCs w:val="24"/>
          <w:lang w:val="en-US"/>
        </w:rPr>
        <w:t xml:space="preserve">and Wall-Randell, “What is a Staged Book?” 218. </w:t>
      </w:r>
    </w:p>
  </w:endnote>
  <w:endnote w:id="33">
    <w:p w14:paraId="7CF88E7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Titus</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2.3.1.SD.</w:t>
      </w:r>
    </w:p>
  </w:endnote>
  <w:endnote w:id="34">
    <w:p w14:paraId="667E5866"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At 3.2.36, Titus announces “I can interpret all her martyred sighs.” Also note Titus and Saturninus’ later failure to accurately remember the story of Virginia’s rape in which she was killed by her father to </w:t>
      </w:r>
      <w:r w:rsidRPr="00DD343F">
        <w:rPr>
          <w:rFonts w:ascii="Times New Roman" w:hAnsi="Times New Roman" w:cs="Times New Roman"/>
          <w:i/>
          <w:iCs/>
          <w:sz w:val="24"/>
          <w:szCs w:val="24"/>
        </w:rPr>
        <w:t>prevent</w:t>
      </w:r>
      <w:r w:rsidRPr="00DD343F">
        <w:rPr>
          <w:rFonts w:ascii="Times New Roman" w:hAnsi="Times New Roman" w:cs="Times New Roman"/>
          <w:sz w:val="24"/>
          <w:szCs w:val="24"/>
        </w:rPr>
        <w:t xml:space="preserve"> her rape rather than to kill any perceived “shame” associated with the rape. </w:t>
      </w:r>
    </w:p>
  </w:endnote>
  <w:endnote w:id="35">
    <w:p w14:paraId="181233EC"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Sonnet 111, </w:t>
      </w:r>
      <w:r w:rsidRPr="00DD343F">
        <w:rPr>
          <w:rFonts w:ascii="Times New Roman" w:hAnsi="Times New Roman" w:cs="Times New Roman"/>
          <w:bCs/>
          <w:sz w:val="24"/>
          <w:szCs w:val="24"/>
          <w:lang w:val="en-US"/>
        </w:rPr>
        <w:t>9-10.</w:t>
      </w:r>
    </w:p>
  </w:endnote>
  <w:endnote w:id="36">
    <w:p w14:paraId="0D5EA9AC"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In </w:t>
      </w:r>
      <w:r w:rsidRPr="00DD343F">
        <w:rPr>
          <w:rFonts w:ascii="Times New Roman" w:hAnsi="Times New Roman" w:cs="Times New Roman"/>
          <w:i/>
          <w:sz w:val="24"/>
          <w:szCs w:val="24"/>
        </w:rPr>
        <w:t>Love’s Labour’s Lost</w:t>
      </w:r>
      <w:r w:rsidRPr="00DD343F">
        <w:rPr>
          <w:rFonts w:ascii="Times New Roman" w:hAnsi="Times New Roman" w:cs="Times New Roman"/>
          <w:sz w:val="24"/>
          <w:szCs w:val="24"/>
        </w:rPr>
        <w:t xml:space="preserve">, Antony Dull struggles to understand things because </w:t>
      </w:r>
      <w:bookmarkStart w:id="2" w:name="24"/>
      <w:r w:rsidRPr="00DD343F">
        <w:rPr>
          <w:rFonts w:ascii="Times New Roman" w:hAnsi="Times New Roman" w:cs="Times New Roman"/>
          <w:sz w:val="24"/>
          <w:szCs w:val="24"/>
        </w:rPr>
        <w:t>he “hath never fed of the dainties that are bred</w:t>
      </w:r>
      <w:bookmarkEnd w:id="2"/>
      <w:r w:rsidRPr="00DD343F">
        <w:rPr>
          <w:rFonts w:ascii="Times New Roman" w:hAnsi="Times New Roman" w:cs="Times New Roman"/>
          <w:sz w:val="24"/>
          <w:szCs w:val="24"/>
        </w:rPr>
        <w:t xml:space="preserve"> </w:t>
      </w:r>
      <w:bookmarkStart w:id="3" w:name="25"/>
      <w:r w:rsidRPr="00DD343F">
        <w:rPr>
          <w:rFonts w:ascii="Times New Roman" w:hAnsi="Times New Roman" w:cs="Times New Roman"/>
          <w:sz w:val="24"/>
          <w:szCs w:val="24"/>
        </w:rPr>
        <w:t>in a book; / he hath not eat paper, as it were; he</w:t>
      </w:r>
      <w:bookmarkStart w:id="4" w:name="26"/>
      <w:bookmarkEnd w:id="3"/>
      <w:r w:rsidRPr="00DD343F">
        <w:rPr>
          <w:rFonts w:ascii="Times New Roman" w:hAnsi="Times New Roman" w:cs="Times New Roman"/>
          <w:sz w:val="24"/>
          <w:szCs w:val="24"/>
        </w:rPr>
        <w:t xml:space="preserve"> hath not drunk ink</w:t>
      </w:r>
      <w:bookmarkEnd w:id="4"/>
      <w:r w:rsidRPr="00DD343F">
        <w:rPr>
          <w:rFonts w:ascii="Times New Roman" w:hAnsi="Times New Roman" w:cs="Times New Roman"/>
          <w:sz w:val="24"/>
          <w:szCs w:val="24"/>
        </w:rPr>
        <w:t>” (4.2.24-26).</w:t>
      </w:r>
    </w:p>
  </w:endnote>
  <w:endnote w:id="37">
    <w:p w14:paraId="039FE329" w14:textId="77777777" w:rsidR="00CA54B4" w:rsidRPr="00DD343F" w:rsidRDefault="00CA54B4" w:rsidP="00CA54B4">
      <w:pPr>
        <w:pStyle w:val="EndnoteText"/>
        <w:adjustRightInd w:val="0"/>
        <w:snapToGrid w:val="0"/>
        <w:spacing w:line="480" w:lineRule="auto"/>
        <w:rPr>
          <w:rFonts w:ascii="Times New Roman" w:hAnsi="Times New Roman" w:cs="Times New Roman"/>
          <w:b/>
          <w:bCs/>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Daybell,</w:t>
      </w:r>
      <w:r w:rsidRPr="00DD343F">
        <w:rPr>
          <w:rFonts w:ascii="Times New Roman" w:hAnsi="Times New Roman" w:cs="Times New Roman"/>
          <w:b/>
          <w:bCs/>
          <w:sz w:val="24"/>
          <w:szCs w:val="24"/>
        </w:rPr>
        <w:t xml:space="preserve"> </w:t>
      </w:r>
      <w:r w:rsidRPr="00DD343F">
        <w:rPr>
          <w:rFonts w:ascii="Times New Roman" w:hAnsi="Times New Roman" w:cs="Times New Roman"/>
          <w:i/>
          <w:iCs/>
          <w:sz w:val="24"/>
          <w:szCs w:val="24"/>
        </w:rPr>
        <w:t>The Material Letter</w:t>
      </w:r>
      <w:r w:rsidRPr="00DD343F">
        <w:rPr>
          <w:rFonts w:ascii="Times New Roman" w:hAnsi="Times New Roman" w:cs="Times New Roman"/>
          <w:sz w:val="24"/>
          <w:szCs w:val="24"/>
        </w:rPr>
        <w:t>, 38.</w:t>
      </w:r>
    </w:p>
  </w:endnote>
  <w:endnote w:id="38">
    <w:p w14:paraId="27DA4DCC" w14:textId="77777777" w:rsidR="00CA54B4" w:rsidRPr="00DD343F" w:rsidRDefault="00CA54B4" w:rsidP="00CA54B4">
      <w:pPr>
        <w:pStyle w:val="EndnoteText"/>
        <w:adjustRightInd w:val="0"/>
        <w:snapToGrid w:val="0"/>
        <w:spacing w:line="480" w:lineRule="auto"/>
        <w:rPr>
          <w:rFonts w:ascii="Times New Roman" w:hAnsi="Times New Roman" w:cs="Times New Roman"/>
          <w:bCs/>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bCs/>
          <w:sz w:val="24"/>
          <w:szCs w:val="24"/>
        </w:rPr>
        <w:t xml:space="preserve">An allusion to the need to dilute ink is found in </w:t>
      </w:r>
      <w:r w:rsidRPr="00DD343F">
        <w:rPr>
          <w:rFonts w:ascii="Times New Roman" w:hAnsi="Times New Roman" w:cs="Times New Roman"/>
          <w:bCs/>
          <w:i/>
          <w:iCs/>
          <w:sz w:val="24"/>
          <w:szCs w:val="24"/>
        </w:rPr>
        <w:t>Two Gentlemen of Verona</w:t>
      </w:r>
      <w:r w:rsidRPr="00DD343F">
        <w:rPr>
          <w:rFonts w:ascii="Times New Roman" w:hAnsi="Times New Roman" w:cs="Times New Roman"/>
          <w:bCs/>
          <w:sz w:val="24"/>
          <w:szCs w:val="24"/>
        </w:rPr>
        <w:t>: “Write till your </w:t>
      </w:r>
      <w:r w:rsidRPr="00DD343F">
        <w:rPr>
          <w:rFonts w:ascii="Times New Roman" w:hAnsi="Times New Roman" w:cs="Times New Roman"/>
          <w:sz w:val="24"/>
          <w:szCs w:val="24"/>
        </w:rPr>
        <w:t>ink</w:t>
      </w:r>
      <w:r w:rsidRPr="00DD343F">
        <w:rPr>
          <w:rFonts w:ascii="Times New Roman" w:hAnsi="Times New Roman" w:cs="Times New Roman"/>
          <w:bCs/>
          <w:sz w:val="24"/>
          <w:szCs w:val="24"/>
        </w:rPr>
        <w:t xml:space="preserve"> be dry, and with your tears / Moist it again, and frame some feeling line / That may discover such integrity” (3.2.74-76). Here, the (emotional) content of the writing is yet again aligned with the material form of the ink. </w:t>
      </w:r>
    </w:p>
  </w:endnote>
  <w:endnote w:id="39">
    <w:p w14:paraId="7CE763E5"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Daybell, </w:t>
      </w:r>
      <w:r w:rsidRPr="00DD343F">
        <w:rPr>
          <w:rFonts w:ascii="Times New Roman" w:hAnsi="Times New Roman" w:cs="Times New Roman"/>
          <w:i/>
          <w:iCs/>
          <w:sz w:val="24"/>
          <w:szCs w:val="24"/>
        </w:rPr>
        <w:t>The Material Letter</w:t>
      </w:r>
      <w:r w:rsidRPr="00DD343F">
        <w:rPr>
          <w:rFonts w:ascii="Times New Roman" w:hAnsi="Times New Roman" w:cs="Times New Roman"/>
          <w:sz w:val="24"/>
          <w:szCs w:val="24"/>
        </w:rPr>
        <w:t>, 69.</w:t>
      </w:r>
    </w:p>
  </w:endnote>
  <w:endnote w:id="40">
    <w:p w14:paraId="53F051C2" w14:textId="77777777" w:rsidR="00CA54B4" w:rsidRPr="00DD343F" w:rsidRDefault="00CA54B4" w:rsidP="00CA54B4">
      <w:pPr>
        <w:pStyle w:val="EndnoteText"/>
        <w:adjustRightInd w:val="0"/>
        <w:snapToGrid w:val="0"/>
        <w:spacing w:line="480" w:lineRule="auto"/>
        <w:rPr>
          <w:rFonts w:ascii="Times New Roman" w:hAnsi="Times New Roman" w:cs="Times New Roman"/>
          <w:bCs/>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Twelfth Night</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sz w:val="24"/>
          <w:szCs w:val="24"/>
        </w:rPr>
        <w:t xml:space="preserve">3.2.47-48 and 3.2.45-47. </w:t>
      </w:r>
      <w:r w:rsidRPr="00DD343F">
        <w:rPr>
          <w:rFonts w:ascii="Times New Roman" w:hAnsi="Times New Roman" w:cs="Times New Roman"/>
          <w:bCs/>
          <w:sz w:val="24"/>
          <w:szCs w:val="24"/>
        </w:rPr>
        <w:t>Shakespeare’s characters do not only write in ink</w:t>
      </w:r>
      <w:r w:rsidRPr="00DD343F">
        <w:rPr>
          <w:rFonts w:ascii="Times New Roman" w:hAnsi="Times New Roman" w:cs="Times New Roman"/>
          <w:sz w:val="24"/>
          <w:szCs w:val="24"/>
        </w:rPr>
        <w:t xml:space="preserve">. For example, </w:t>
      </w:r>
      <w:r w:rsidRPr="00DD343F">
        <w:rPr>
          <w:rFonts w:ascii="Times New Roman" w:hAnsi="Times New Roman" w:cs="Times New Roman"/>
          <w:bCs/>
          <w:sz w:val="24"/>
          <w:szCs w:val="24"/>
        </w:rPr>
        <w:t>Titus urges Tamora to “witness” the “wretched stump” he has used to “set down” his “bloody lines” (5.2.22 and 5.2.14) and handless Lavinia is told to follow Marcus’ example and use a staff to write in a sandy plot “without the help of any hand at all” (4.1.71).</w:t>
      </w:r>
    </w:p>
  </w:endnote>
  <w:endnote w:id="41">
    <w:p w14:paraId="457D6C3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en-US"/>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sz w:val="24"/>
          <w:szCs w:val="24"/>
          <w:lang w:val="en-US"/>
        </w:rPr>
        <w:t xml:space="preserve">“Ink-horn,” n.1. </w:t>
      </w:r>
      <w:r w:rsidRPr="00DD343F">
        <w:rPr>
          <w:rFonts w:ascii="Times New Roman" w:hAnsi="Times New Roman" w:cs="Times New Roman"/>
          <w:i/>
          <w:iCs/>
          <w:sz w:val="24"/>
          <w:szCs w:val="24"/>
          <w:lang w:val="en-US"/>
        </w:rPr>
        <w:t>OED Online</w:t>
      </w:r>
      <w:r w:rsidRPr="00DD343F">
        <w:rPr>
          <w:rFonts w:ascii="Times New Roman" w:hAnsi="Times New Roman" w:cs="Times New Roman"/>
          <w:sz w:val="24"/>
          <w:szCs w:val="24"/>
          <w:lang w:val="en-US"/>
        </w:rPr>
        <w:t xml:space="preserve">. September 2020. Oxford University Press. &lt;https://www.oed.com/view/Entry/96130&gt;. </w:t>
      </w:r>
    </w:p>
  </w:endnote>
  <w:endnote w:id="42">
    <w:p w14:paraId="77ACA981"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Henry VI, Part 2</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bCs/>
          <w:sz w:val="24"/>
          <w:szCs w:val="24"/>
        </w:rPr>
        <w:t>4.2.106.</w:t>
      </w:r>
    </w:p>
  </w:endnote>
  <w:endnote w:id="43">
    <w:p w14:paraId="35EFB6EB"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Much Ado</w:t>
      </w:r>
      <w:r w:rsidRPr="00DD343F">
        <w:rPr>
          <w:rFonts w:ascii="Times New Roman" w:hAnsi="Times New Roman" w:cs="Times New Roman"/>
          <w:sz w:val="24"/>
          <w:szCs w:val="24"/>
        </w:rPr>
        <w:t>,</w:t>
      </w:r>
      <w:r w:rsidRPr="00DD343F">
        <w:rPr>
          <w:rFonts w:ascii="Times New Roman" w:hAnsi="Times New Roman" w:cs="Times New Roman"/>
          <w:i/>
          <w:iCs/>
          <w:sz w:val="24"/>
          <w:szCs w:val="24"/>
        </w:rPr>
        <w:t xml:space="preserve"> </w:t>
      </w:r>
      <w:r w:rsidRPr="00DD343F">
        <w:rPr>
          <w:rFonts w:ascii="Times New Roman" w:hAnsi="Times New Roman" w:cs="Times New Roman"/>
          <w:bCs/>
          <w:sz w:val="24"/>
          <w:szCs w:val="24"/>
        </w:rPr>
        <w:t xml:space="preserve">2.3.243; </w:t>
      </w:r>
      <w:r w:rsidRPr="00DD343F">
        <w:rPr>
          <w:rFonts w:ascii="Times New Roman" w:hAnsi="Times New Roman" w:cs="Times New Roman"/>
          <w:bCs/>
          <w:i/>
          <w:iCs/>
          <w:sz w:val="24"/>
          <w:szCs w:val="24"/>
        </w:rPr>
        <w:t>King Lear</w:t>
      </w:r>
      <w:r w:rsidRPr="00DD343F">
        <w:rPr>
          <w:rFonts w:ascii="Times New Roman" w:hAnsi="Times New Roman" w:cs="Times New Roman"/>
          <w:bCs/>
          <w:sz w:val="24"/>
          <w:szCs w:val="24"/>
        </w:rPr>
        <w:t>,</w:t>
      </w:r>
      <w:r w:rsidRPr="00DD343F">
        <w:rPr>
          <w:rFonts w:ascii="Times New Roman" w:hAnsi="Times New Roman" w:cs="Times New Roman"/>
          <w:bCs/>
          <w:i/>
          <w:iCs/>
          <w:sz w:val="24"/>
          <w:szCs w:val="24"/>
        </w:rPr>
        <w:t xml:space="preserve"> </w:t>
      </w:r>
      <w:r w:rsidRPr="00DD343F">
        <w:rPr>
          <w:rFonts w:ascii="Times New Roman" w:hAnsi="Times New Roman" w:cs="Times New Roman"/>
          <w:bCs/>
          <w:sz w:val="24"/>
          <w:szCs w:val="24"/>
        </w:rPr>
        <w:t>5.3.185-8.</w:t>
      </w:r>
    </w:p>
  </w:endnote>
  <w:endnote w:id="44">
    <w:p w14:paraId="4849355B"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en-US"/>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lang w:val="en-US"/>
        </w:rPr>
        <w:t>Cymbeline</w:t>
      </w:r>
      <w:r w:rsidRPr="00DD343F">
        <w:rPr>
          <w:rFonts w:ascii="Times New Roman" w:hAnsi="Times New Roman" w:cs="Times New Roman"/>
          <w:sz w:val="24"/>
          <w:szCs w:val="24"/>
          <w:lang w:val="en-US"/>
        </w:rPr>
        <w:t>, 3.2.19-22.</w:t>
      </w:r>
    </w:p>
  </w:endnote>
  <w:endnote w:id="45">
    <w:p w14:paraId="3B90B1A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Cymbeline</w:t>
      </w:r>
      <w:r w:rsidRPr="00DD343F">
        <w:rPr>
          <w:rFonts w:ascii="Times New Roman" w:hAnsi="Times New Roman" w:cs="Times New Roman"/>
          <w:sz w:val="24"/>
          <w:szCs w:val="24"/>
        </w:rPr>
        <w:t xml:space="preserve"> (Arden Shakespeare Third Series), ed. Valerie Wayne (London: Bloomsbury, 2017), 238n28.</w:t>
      </w:r>
    </w:p>
  </w:endnote>
  <w:endnote w:id="46">
    <w:p w14:paraId="38FD674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i/>
          <w:iCs/>
          <w:sz w:val="24"/>
          <w:szCs w:val="24"/>
        </w:rPr>
        <w:t>Cymbeline</w:t>
      </w:r>
      <w:r w:rsidRPr="00DD343F">
        <w:rPr>
          <w:rFonts w:ascii="Times New Roman" w:hAnsi="Times New Roman" w:cs="Times New Roman"/>
          <w:sz w:val="24"/>
          <w:szCs w:val="24"/>
        </w:rPr>
        <w:t>, 3.4.32-33.</w:t>
      </w:r>
    </w:p>
  </w:endnote>
  <w:endnote w:id="47">
    <w:p w14:paraId="6C71084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en-US"/>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lang w:val="en-US"/>
        </w:rPr>
        <w:t>Henry V</w:t>
      </w:r>
      <w:r w:rsidRPr="00DD343F">
        <w:rPr>
          <w:rFonts w:ascii="Times New Roman" w:hAnsi="Times New Roman" w:cs="Times New Roman"/>
          <w:sz w:val="24"/>
          <w:szCs w:val="24"/>
          <w:lang w:val="en-US"/>
        </w:rPr>
        <w:t>, 2.2.72-76.</w:t>
      </w:r>
    </w:p>
  </w:endnote>
  <w:endnote w:id="48">
    <w:p w14:paraId="4757900B"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en-US"/>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 xml:space="preserve">The </w:t>
      </w:r>
      <w:r w:rsidRPr="00DD343F">
        <w:rPr>
          <w:rFonts w:ascii="Times New Roman" w:hAnsi="Times New Roman" w:cs="Times New Roman"/>
          <w:i/>
          <w:iCs/>
          <w:sz w:val="24"/>
          <w:szCs w:val="24"/>
          <w:lang w:val="en-US"/>
        </w:rPr>
        <w:t>Merchant of Venice</w:t>
      </w:r>
      <w:r w:rsidRPr="00DD343F">
        <w:rPr>
          <w:rFonts w:ascii="Times New Roman" w:hAnsi="Times New Roman" w:cs="Times New Roman"/>
          <w:sz w:val="24"/>
          <w:szCs w:val="24"/>
          <w:lang w:val="en-US"/>
        </w:rPr>
        <w:t>, 3.2.242-43 and 263-65.</w:t>
      </w:r>
    </w:p>
  </w:endnote>
  <w:endnote w:id="49">
    <w:p w14:paraId="053DC06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Sonnet 65, 14.</w:t>
      </w:r>
    </w:p>
  </w:endnote>
  <w:endnote w:id="50">
    <w:p w14:paraId="2D0AF10E"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w:t>
      </w:r>
      <w:r w:rsidRPr="00DD343F">
        <w:rPr>
          <w:rFonts w:ascii="Times New Roman" w:hAnsi="Times New Roman" w:cs="Times New Roman"/>
          <w:sz w:val="24"/>
          <w:szCs w:val="24"/>
          <w:lang w:val="en-US"/>
        </w:rPr>
        <w:t xml:space="preserve">Jeffrey Todd Knight, “Shakespeare and the Collection: Reading Beyond Readers’ Marks,” in </w:t>
      </w:r>
      <w:r w:rsidRPr="00DD343F">
        <w:rPr>
          <w:rFonts w:ascii="Times New Roman" w:hAnsi="Times New Roman" w:cs="Times New Roman"/>
          <w:i/>
          <w:iCs/>
          <w:sz w:val="24"/>
          <w:szCs w:val="24"/>
          <w:lang w:val="en-US"/>
        </w:rPr>
        <w:t>Shakespeare and Textual Studies</w:t>
      </w:r>
      <w:r w:rsidRPr="00DD343F">
        <w:rPr>
          <w:rFonts w:ascii="Times New Roman" w:hAnsi="Times New Roman" w:cs="Times New Roman"/>
          <w:sz w:val="24"/>
          <w:szCs w:val="24"/>
          <w:lang w:val="en-US"/>
        </w:rPr>
        <w:t xml:space="preserve">, eds Sonia Massai and Margaret Jane Kidnie (Cambridge: Cambridge University Press, 2015): 177-95. </w:t>
      </w:r>
      <w:r w:rsidRPr="00DD343F">
        <w:rPr>
          <w:rFonts w:ascii="Times New Roman" w:hAnsi="Times New Roman" w:cs="Times New Roman"/>
          <w:bCs/>
          <w:sz w:val="24"/>
          <w:szCs w:val="24"/>
          <w:lang w:val="en-US"/>
        </w:rPr>
        <w:t xml:space="preserve">Where leaves have not been washed, observation of marginalia and handwriting analysis have allowed for fascinating finds, such as Claire M. L. </w:t>
      </w:r>
      <w:r w:rsidRPr="00DD343F">
        <w:rPr>
          <w:rFonts w:ascii="Times New Roman" w:hAnsi="Times New Roman" w:cs="Times New Roman"/>
          <w:bCs/>
          <w:sz w:val="24"/>
          <w:szCs w:val="24"/>
        </w:rPr>
        <w:t xml:space="preserve">Bourne and Jason Scott-Warren’s discovery that the annotator of a Free Library of Philadelphia copy of a Shakespeare folio was none other than John Milton. See Jason </w:t>
      </w:r>
      <w:r w:rsidRPr="00DD343F">
        <w:rPr>
          <w:rFonts w:ascii="Times New Roman" w:hAnsi="Times New Roman" w:cs="Times New Roman"/>
          <w:sz w:val="24"/>
          <w:szCs w:val="24"/>
        </w:rPr>
        <w:t xml:space="preserve">Scott-Warren, “Milton’s Shakespeare?” </w:t>
      </w:r>
      <w:r w:rsidRPr="00DD343F">
        <w:rPr>
          <w:rFonts w:ascii="Times New Roman" w:hAnsi="Times New Roman" w:cs="Times New Roman"/>
          <w:i/>
          <w:iCs/>
          <w:sz w:val="24"/>
          <w:szCs w:val="24"/>
        </w:rPr>
        <w:t xml:space="preserve">Centre for Material Texts </w:t>
      </w:r>
      <w:r w:rsidRPr="00DD343F">
        <w:rPr>
          <w:rFonts w:ascii="Times New Roman" w:hAnsi="Times New Roman" w:cs="Times New Roman"/>
          <w:sz w:val="24"/>
          <w:szCs w:val="24"/>
        </w:rPr>
        <w:t>(blog), September 9, 2019 &lt;https://www.english.cam.ac.uk/cmt/?p=5751&gt;.</w:t>
      </w:r>
    </w:p>
  </w:endnote>
  <w:endnote w:id="51">
    <w:p w14:paraId="17CE846C"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Monique Hulvey, “Not So Marginal: Manuscript Annotations in the Folger Incunabula,” </w:t>
      </w:r>
      <w:r w:rsidRPr="00DD343F">
        <w:rPr>
          <w:rFonts w:ascii="Times New Roman" w:hAnsi="Times New Roman" w:cs="Times New Roman"/>
          <w:i/>
          <w:iCs/>
          <w:sz w:val="24"/>
          <w:szCs w:val="24"/>
        </w:rPr>
        <w:t>The Papers of the Bibliographical Society of America</w:t>
      </w:r>
      <w:r w:rsidRPr="00DD343F">
        <w:rPr>
          <w:rFonts w:ascii="Times New Roman" w:hAnsi="Times New Roman" w:cs="Times New Roman"/>
          <w:sz w:val="24"/>
          <w:szCs w:val="24"/>
        </w:rPr>
        <w:t xml:space="preserve"> 92, no. 2 (1998): 161.</w:t>
      </w:r>
    </w:p>
  </w:endnote>
  <w:endnote w:id="52">
    <w:p w14:paraId="68BAF102"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Bound to Read: Compilations, Collections, and the Making of Renaissance Literature</w:t>
      </w:r>
      <w:r w:rsidRPr="00DD343F">
        <w:rPr>
          <w:rFonts w:ascii="Times New Roman" w:hAnsi="Times New Roman" w:cs="Times New Roman"/>
          <w:sz w:val="24"/>
          <w:szCs w:val="24"/>
        </w:rPr>
        <w:t xml:space="preserve"> (University of Pennsylvania Press, 2013).</w:t>
      </w:r>
    </w:p>
  </w:endnote>
  <w:endnote w:id="53">
    <w:p w14:paraId="66BCC865"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Sarah Werner, “Blanking Out,” </w:t>
      </w:r>
      <w:r w:rsidRPr="00DD343F">
        <w:rPr>
          <w:rFonts w:ascii="Times New Roman" w:hAnsi="Times New Roman" w:cs="Times New Roman"/>
          <w:i/>
          <w:iCs/>
          <w:sz w:val="24"/>
          <w:szCs w:val="24"/>
        </w:rPr>
        <w:t xml:space="preserve">Early Printed Fun </w:t>
      </w:r>
      <w:r w:rsidRPr="00DD343F">
        <w:rPr>
          <w:rFonts w:ascii="Times New Roman" w:hAnsi="Times New Roman" w:cs="Times New Roman"/>
          <w:sz w:val="24"/>
          <w:szCs w:val="24"/>
        </w:rPr>
        <w:t>(blog), March 23, 2020, &lt;https://sarahwerner.substack.com/p/blanking-out&gt;.</w:t>
      </w:r>
    </w:p>
  </w:endnote>
  <w:endnote w:id="54">
    <w:p w14:paraId="7360AF64"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This is the case for a washed leaf of a Boston Public Library copy of </w:t>
      </w:r>
      <w:r w:rsidRPr="00DD343F">
        <w:rPr>
          <w:rFonts w:ascii="Times New Roman" w:hAnsi="Times New Roman" w:cs="Times New Roman"/>
          <w:i/>
          <w:iCs/>
          <w:sz w:val="24"/>
          <w:szCs w:val="24"/>
        </w:rPr>
        <w:t>Richard II</w:t>
      </w:r>
      <w:r w:rsidRPr="00DD343F">
        <w:rPr>
          <w:rFonts w:ascii="Times New Roman" w:hAnsi="Times New Roman" w:cs="Times New Roman"/>
          <w:sz w:val="24"/>
          <w:szCs w:val="24"/>
        </w:rPr>
        <w:t xml:space="preserve"> (1615) where the removed ink has been rendered visible again: “Character Lists in Manuscript,” </w:t>
      </w:r>
      <w:r w:rsidRPr="00DD343F">
        <w:rPr>
          <w:rFonts w:ascii="Times New Roman" w:hAnsi="Times New Roman" w:cs="Times New Roman"/>
          <w:i/>
          <w:iCs/>
          <w:sz w:val="24"/>
          <w:szCs w:val="24"/>
        </w:rPr>
        <w:t>Folgerpedia</w:t>
      </w:r>
      <w:r w:rsidRPr="00DD343F">
        <w:rPr>
          <w:rFonts w:ascii="Times New Roman" w:hAnsi="Times New Roman" w:cs="Times New Roman"/>
          <w:sz w:val="24"/>
          <w:szCs w:val="24"/>
        </w:rPr>
        <w:t>,</w:t>
      </w:r>
    </w:p>
    <w:p w14:paraId="5F35945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lang w:val="fr-CH"/>
        </w:rPr>
      </w:pPr>
      <w:r w:rsidRPr="00DD343F">
        <w:rPr>
          <w:rFonts w:ascii="Times New Roman" w:hAnsi="Times New Roman" w:cs="Times New Roman"/>
          <w:sz w:val="24"/>
          <w:szCs w:val="24"/>
        </w:rPr>
        <w:t xml:space="preserve">https://folgerpedia.folger.edu/Character_lists_in_manuscript; and Emma Depledge and Marissa Nicosia, “Handwritten Character Lists at the Folger Shakespeare Library,” </w:t>
      </w:r>
      <w:r w:rsidRPr="00DD343F">
        <w:rPr>
          <w:rFonts w:ascii="Times New Roman" w:hAnsi="Times New Roman" w:cs="Times New Roman"/>
          <w:i/>
          <w:iCs/>
          <w:sz w:val="24"/>
          <w:szCs w:val="24"/>
        </w:rPr>
        <w:t xml:space="preserve">Marginal Notes </w:t>
      </w:r>
      <w:r w:rsidRPr="00DD343F">
        <w:rPr>
          <w:rFonts w:ascii="Times New Roman" w:hAnsi="Times New Roman" w:cs="Times New Roman"/>
          <w:sz w:val="24"/>
          <w:szCs w:val="24"/>
        </w:rPr>
        <w:t>(blog), June 28, 2016 &lt;https://marissanicosia.wordpress.com/2016/06/28/handwritten-character-lists-at-the-folger-shakespeare-library/&gt;.</w:t>
      </w:r>
    </w:p>
  </w:endnote>
  <w:endnote w:id="55">
    <w:p w14:paraId="25881DE1"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Knight, </w:t>
      </w:r>
      <w:r w:rsidRPr="00DD343F">
        <w:rPr>
          <w:rFonts w:ascii="Times New Roman" w:hAnsi="Times New Roman" w:cs="Times New Roman"/>
          <w:i/>
          <w:iCs/>
          <w:sz w:val="24"/>
          <w:szCs w:val="24"/>
        </w:rPr>
        <w:t>Bound to Read</w:t>
      </w:r>
      <w:r w:rsidRPr="00DD343F">
        <w:rPr>
          <w:rFonts w:ascii="Times New Roman" w:hAnsi="Times New Roman" w:cs="Times New Roman"/>
          <w:sz w:val="24"/>
          <w:szCs w:val="24"/>
        </w:rPr>
        <w:t>, 151.</w:t>
      </w:r>
    </w:p>
  </w:endnote>
  <w:endnote w:id="56">
    <w:p w14:paraId="71EEFF87"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“Ghost, Holes and Rips: The Pavier Quartos Reexamined,” lecture at The Yale Program in the History of the Book, Yale University (May 1, 2017) &lt;https://www.listennotes.com/podcasts/yale-program-in/zachary-lesser-ghosts-holes-mPLzkSivqC6/&gt;. </w:t>
      </w:r>
    </w:p>
  </w:endnote>
  <w:endnote w:id="57">
    <w:p w14:paraId="78CDC01F"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Emma Depledge, “False Dating: The Case of the ‘1676’ </w:t>
      </w:r>
      <w:r w:rsidRPr="00DD343F">
        <w:rPr>
          <w:rFonts w:ascii="Times New Roman" w:hAnsi="Times New Roman" w:cs="Times New Roman"/>
          <w:i/>
          <w:iCs/>
          <w:sz w:val="24"/>
          <w:szCs w:val="24"/>
        </w:rPr>
        <w:t xml:space="preserve">Hamlet </w:t>
      </w:r>
      <w:r w:rsidRPr="00DD343F">
        <w:rPr>
          <w:rFonts w:ascii="Times New Roman" w:hAnsi="Times New Roman" w:cs="Times New Roman"/>
          <w:sz w:val="24"/>
          <w:szCs w:val="24"/>
        </w:rPr>
        <w:t xml:space="preserve">Quartos,” </w:t>
      </w:r>
      <w:r w:rsidRPr="00DD343F">
        <w:rPr>
          <w:rFonts w:ascii="Times New Roman" w:hAnsi="Times New Roman" w:cs="Times New Roman"/>
          <w:i/>
          <w:iCs/>
          <w:sz w:val="24"/>
          <w:szCs w:val="24"/>
        </w:rPr>
        <w:t>Papers of the Bibliographical Society of America</w:t>
      </w:r>
      <w:r w:rsidRPr="00DD343F">
        <w:rPr>
          <w:rFonts w:ascii="Times New Roman" w:hAnsi="Times New Roman" w:cs="Times New Roman"/>
          <w:sz w:val="24"/>
          <w:szCs w:val="24"/>
        </w:rPr>
        <w:t xml:space="preserve"> 112 (2018): 186.</w:t>
      </w:r>
    </w:p>
  </w:endnote>
  <w:endnote w:id="58">
    <w:p w14:paraId="08505CA0"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Philip Gaskell, </w:t>
      </w:r>
      <w:r w:rsidRPr="00DD343F">
        <w:rPr>
          <w:rFonts w:ascii="Times New Roman" w:hAnsi="Times New Roman" w:cs="Times New Roman"/>
          <w:i/>
          <w:iCs/>
          <w:sz w:val="24"/>
          <w:szCs w:val="24"/>
        </w:rPr>
        <w:t>A New Introduction to Bibliography</w:t>
      </w:r>
      <w:r w:rsidRPr="00DD343F">
        <w:rPr>
          <w:rFonts w:ascii="Times New Roman" w:hAnsi="Times New Roman" w:cs="Times New Roman"/>
          <w:sz w:val="24"/>
          <w:szCs w:val="24"/>
        </w:rPr>
        <w:t xml:space="preserve"> (Oxford: Oxford University Press, 1972), 63; for a prime example of this kind of scholarship in practise, see R. Carter Hailey, “The Dating Game: New Evidence for the Dates of Q4 </w:t>
      </w:r>
      <w:r w:rsidRPr="00DD343F">
        <w:rPr>
          <w:rFonts w:ascii="Times New Roman" w:hAnsi="Times New Roman" w:cs="Times New Roman"/>
          <w:i/>
          <w:iCs/>
          <w:sz w:val="24"/>
          <w:szCs w:val="24"/>
        </w:rPr>
        <w:t>Romeo and Juliet</w:t>
      </w:r>
      <w:r w:rsidRPr="00DD343F">
        <w:rPr>
          <w:rFonts w:ascii="Times New Roman" w:hAnsi="Times New Roman" w:cs="Times New Roman"/>
          <w:sz w:val="24"/>
          <w:szCs w:val="24"/>
        </w:rPr>
        <w:t xml:space="preserve"> and Q4 </w:t>
      </w:r>
      <w:r w:rsidRPr="00DD343F">
        <w:rPr>
          <w:rFonts w:ascii="Times New Roman" w:hAnsi="Times New Roman" w:cs="Times New Roman"/>
          <w:i/>
          <w:iCs/>
          <w:sz w:val="24"/>
          <w:szCs w:val="24"/>
        </w:rPr>
        <w:t>Hamlet</w:t>
      </w:r>
      <w:r w:rsidRPr="00DD343F">
        <w:rPr>
          <w:rFonts w:ascii="Times New Roman" w:hAnsi="Times New Roman" w:cs="Times New Roman"/>
          <w:sz w:val="24"/>
          <w:szCs w:val="24"/>
        </w:rPr>
        <w:t xml:space="preserve">,” </w:t>
      </w:r>
      <w:r w:rsidRPr="00DD343F">
        <w:rPr>
          <w:rFonts w:ascii="Times New Roman" w:hAnsi="Times New Roman" w:cs="Times New Roman"/>
          <w:i/>
          <w:iCs/>
          <w:sz w:val="24"/>
          <w:szCs w:val="24"/>
        </w:rPr>
        <w:t>Shakespeare Quarterly</w:t>
      </w:r>
      <w:r w:rsidRPr="00DD343F">
        <w:rPr>
          <w:rFonts w:ascii="Times New Roman" w:hAnsi="Times New Roman" w:cs="Times New Roman"/>
          <w:sz w:val="24"/>
          <w:szCs w:val="24"/>
        </w:rPr>
        <w:t xml:space="preserve"> 58.3 (2007): 367–87.</w:t>
      </w:r>
    </w:p>
  </w:endnote>
  <w:endnote w:id="59">
    <w:p w14:paraId="0DFE273E"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See Hailey, “Dating Game,” 372; 374.</w:t>
      </w:r>
    </w:p>
  </w:endnote>
  <w:endnote w:id="60">
    <w:p w14:paraId="6A342314"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W.W. Greg, “On Certain False Dates in Shakespeare Quartos,” </w:t>
      </w:r>
      <w:r w:rsidRPr="00DD343F">
        <w:rPr>
          <w:rFonts w:ascii="Times New Roman" w:hAnsi="Times New Roman" w:cs="Times New Roman"/>
          <w:i/>
          <w:iCs/>
          <w:sz w:val="24"/>
          <w:szCs w:val="24"/>
        </w:rPr>
        <w:t>The Library</w:t>
      </w:r>
      <w:r w:rsidRPr="00DD343F">
        <w:rPr>
          <w:rFonts w:ascii="Times New Roman" w:hAnsi="Times New Roman" w:cs="Times New Roman"/>
          <w:sz w:val="24"/>
          <w:szCs w:val="24"/>
        </w:rPr>
        <w:t xml:space="preserve">, 2nd series, 9 (1908): 113-31. For a helpful overview of the early history of the Pavier Quartos and the discoveries of material bibliography, see R. Carter Hailey, “The Shakespearian Pavier Quartos Revisited,” </w:t>
      </w:r>
      <w:r w:rsidRPr="00DD343F">
        <w:rPr>
          <w:rFonts w:ascii="Times New Roman" w:hAnsi="Times New Roman" w:cs="Times New Roman"/>
          <w:i/>
          <w:iCs/>
          <w:sz w:val="24"/>
          <w:szCs w:val="24"/>
        </w:rPr>
        <w:t>Studies in Bibliography</w:t>
      </w:r>
      <w:r w:rsidRPr="00DD343F">
        <w:rPr>
          <w:rFonts w:ascii="Times New Roman" w:hAnsi="Times New Roman" w:cs="Times New Roman"/>
          <w:sz w:val="24"/>
          <w:szCs w:val="24"/>
        </w:rPr>
        <w:t xml:space="preserve"> 57 (2005/2006): 151-195; and Sonia Massai, </w:t>
      </w:r>
      <w:r w:rsidRPr="00DD343F">
        <w:rPr>
          <w:rFonts w:ascii="Times New Roman" w:hAnsi="Times New Roman" w:cs="Times New Roman"/>
          <w:i/>
          <w:iCs/>
          <w:sz w:val="24"/>
          <w:szCs w:val="24"/>
        </w:rPr>
        <w:t xml:space="preserve">Shakespeare and the Rise of the Editor </w:t>
      </w:r>
      <w:r w:rsidRPr="00DD343F">
        <w:rPr>
          <w:rFonts w:ascii="Times New Roman" w:hAnsi="Times New Roman" w:cs="Times New Roman"/>
          <w:sz w:val="24"/>
          <w:szCs w:val="24"/>
        </w:rPr>
        <w:t>(Cambridge, Cambridge University Press, 2007), chapter 4.</w:t>
      </w:r>
    </w:p>
  </w:endnote>
  <w:endnote w:id="61">
    <w:p w14:paraId="6D32A0E3"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r w:rsidRPr="00DD343F">
        <w:rPr>
          <w:rStyle w:val="EndnoteReference"/>
          <w:rFonts w:cs="Times New Roman"/>
          <w:szCs w:val="24"/>
        </w:rPr>
        <w:endnoteRef/>
      </w:r>
      <w:r w:rsidRPr="00DD343F">
        <w:rPr>
          <w:rFonts w:ascii="Times New Roman" w:hAnsi="Times New Roman" w:cs="Times New Roman"/>
          <w:sz w:val="24"/>
          <w:szCs w:val="24"/>
        </w:rPr>
        <w:t xml:space="preserve"> Zachary Lesser, </w:t>
      </w:r>
      <w:r w:rsidRPr="00DD343F">
        <w:rPr>
          <w:rFonts w:ascii="Times New Roman" w:hAnsi="Times New Roman" w:cs="Times New Roman"/>
          <w:i/>
          <w:iCs/>
          <w:sz w:val="24"/>
          <w:szCs w:val="24"/>
        </w:rPr>
        <w:t>Ghosts, Holes, Rips and Scrapes: Shakespeare in 1619, Bibliography in the Longue Durée </w:t>
      </w:r>
      <w:r w:rsidRPr="00DD343F">
        <w:rPr>
          <w:rFonts w:ascii="Times New Roman" w:hAnsi="Times New Roman" w:cs="Times New Roman"/>
          <w:sz w:val="24"/>
          <w:szCs w:val="24"/>
        </w:rPr>
        <w:t xml:space="preserve">(University of Pennsylvania Press, forthcoming). On stab-stitching, see Aaron T. Pratt, “Stab-Stitching and the Status of Early English Playbooks as Literature,” </w:t>
      </w:r>
      <w:r w:rsidRPr="00DD343F">
        <w:rPr>
          <w:rFonts w:ascii="Times New Roman" w:hAnsi="Times New Roman" w:cs="Times New Roman"/>
          <w:i/>
          <w:iCs/>
          <w:sz w:val="24"/>
          <w:szCs w:val="24"/>
        </w:rPr>
        <w:t>The Library</w:t>
      </w:r>
      <w:r w:rsidRPr="00DD343F">
        <w:rPr>
          <w:rFonts w:ascii="Times New Roman" w:hAnsi="Times New Roman" w:cs="Times New Roman"/>
          <w:sz w:val="24"/>
          <w:szCs w:val="24"/>
        </w:rPr>
        <w:t xml:space="preserve"> 16, no. 3 (2015): 304-328.</w:t>
      </w:r>
    </w:p>
    <w:p w14:paraId="4A531083" w14:textId="77777777" w:rsidR="00CA54B4" w:rsidRPr="00DD343F" w:rsidRDefault="00CA54B4" w:rsidP="00CA54B4">
      <w:pPr>
        <w:pStyle w:val="EndnoteText"/>
        <w:adjustRightInd w:val="0"/>
        <w:snapToGrid w:val="0"/>
        <w:spacing w:line="480" w:lineRule="auto"/>
        <w:rPr>
          <w:rFonts w:ascii="Times New Roman" w:hAnsi="Times New Roman" w:cs="Times New Roman"/>
          <w:b/>
          <w:bCs/>
          <w:sz w:val="24"/>
          <w:szCs w:val="24"/>
        </w:rPr>
      </w:pPr>
    </w:p>
    <w:p w14:paraId="6FAD48BB" w14:textId="77777777" w:rsidR="00CA54B4" w:rsidRPr="00DD343F" w:rsidRDefault="00CA54B4" w:rsidP="00CA54B4">
      <w:pPr>
        <w:pStyle w:val="EndnoteText"/>
        <w:adjustRightInd w:val="0"/>
        <w:snapToGrid w:val="0"/>
        <w:spacing w:line="480" w:lineRule="auto"/>
        <w:rPr>
          <w:rFonts w:ascii="Times New Roman" w:hAnsi="Times New Roman" w:cs="Times New Roman"/>
          <w:sz w:val="24"/>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92741150"/>
      <w:docPartObj>
        <w:docPartGallery w:val="Page Numbers (Bottom of Page)"/>
        <w:docPartUnique/>
      </w:docPartObj>
    </w:sdtPr>
    <w:sdtEndPr>
      <w:rPr>
        <w:rStyle w:val="PageNumber"/>
      </w:rPr>
    </w:sdtEndPr>
    <w:sdtContent>
      <w:p w14:paraId="24F6CC47" w14:textId="5A3F5452" w:rsidR="00FA5799" w:rsidRDefault="00FA5799" w:rsidP="00DA6FE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B54F2E4" w14:textId="77777777" w:rsidR="00FA5799" w:rsidRDefault="00FA5799" w:rsidP="00FA579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98304196"/>
      <w:docPartObj>
        <w:docPartGallery w:val="Page Numbers (Bottom of Page)"/>
        <w:docPartUnique/>
      </w:docPartObj>
    </w:sdtPr>
    <w:sdtEndPr>
      <w:rPr>
        <w:rStyle w:val="PageNumber"/>
      </w:rPr>
    </w:sdtEndPr>
    <w:sdtContent>
      <w:p w14:paraId="39405A9A" w14:textId="010AB06F" w:rsidR="00FA5799" w:rsidRDefault="00FA5799" w:rsidP="00DA6FE8">
        <w:pPr>
          <w:pStyle w:val="Footer"/>
          <w:framePr w:wrap="none" w:vAnchor="text" w:hAnchor="margin" w:xAlign="right" w:y="1"/>
          <w:rPr>
            <w:rStyle w:val="PageNumber"/>
          </w:rPr>
        </w:pPr>
        <w:r w:rsidRPr="00FA5799">
          <w:rPr>
            <w:rStyle w:val="PageNumber"/>
            <w:rFonts w:ascii="Times New Roman" w:hAnsi="Times New Roman" w:cs="Times New Roman"/>
            <w:sz w:val="20"/>
            <w:szCs w:val="20"/>
          </w:rPr>
          <w:fldChar w:fldCharType="begin"/>
        </w:r>
        <w:r w:rsidRPr="00FA5799">
          <w:rPr>
            <w:rStyle w:val="PageNumber"/>
            <w:rFonts w:ascii="Times New Roman" w:hAnsi="Times New Roman" w:cs="Times New Roman"/>
            <w:sz w:val="20"/>
            <w:szCs w:val="20"/>
          </w:rPr>
          <w:instrText xml:space="preserve"> PAGE </w:instrText>
        </w:r>
        <w:r w:rsidRPr="00FA5799">
          <w:rPr>
            <w:rStyle w:val="PageNumber"/>
            <w:rFonts w:ascii="Times New Roman" w:hAnsi="Times New Roman" w:cs="Times New Roman"/>
            <w:sz w:val="20"/>
            <w:szCs w:val="20"/>
          </w:rPr>
          <w:fldChar w:fldCharType="separate"/>
        </w:r>
        <w:r w:rsidRPr="00FA5799">
          <w:rPr>
            <w:rStyle w:val="PageNumber"/>
            <w:rFonts w:ascii="Times New Roman" w:hAnsi="Times New Roman" w:cs="Times New Roman"/>
            <w:noProof/>
            <w:sz w:val="20"/>
            <w:szCs w:val="20"/>
          </w:rPr>
          <w:t>414</w:t>
        </w:r>
        <w:r w:rsidRPr="00FA5799">
          <w:rPr>
            <w:rStyle w:val="PageNumber"/>
            <w:rFonts w:ascii="Times New Roman" w:hAnsi="Times New Roman" w:cs="Times New Roman"/>
            <w:sz w:val="20"/>
            <w:szCs w:val="20"/>
          </w:rPr>
          <w:fldChar w:fldCharType="end"/>
        </w:r>
      </w:p>
    </w:sdtContent>
  </w:sdt>
  <w:p w14:paraId="7E7DC01F" w14:textId="77777777" w:rsidR="00FA5799" w:rsidRDefault="00FA5799" w:rsidP="00FA579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A117A4" w14:textId="77777777" w:rsidR="00565FE3" w:rsidRDefault="00565FE3" w:rsidP="00CA54B4">
      <w:r>
        <w:separator/>
      </w:r>
    </w:p>
  </w:footnote>
  <w:footnote w:type="continuationSeparator" w:id="0">
    <w:p w14:paraId="58730A5C" w14:textId="77777777" w:rsidR="00565FE3" w:rsidRDefault="00565FE3" w:rsidP="00CA54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5"/>
  <w:defaultTabStop w:val="720"/>
  <w:hyphenationZone w:val="425"/>
  <w:characterSpacingControl w:val="doNotCompress"/>
  <w:footnotePr>
    <w:footnote w:id="-1"/>
    <w:footnote w:id="0"/>
  </w:footnotePr>
  <w:endnotePr>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54B4"/>
    <w:rsid w:val="00146C1C"/>
    <w:rsid w:val="001653FE"/>
    <w:rsid w:val="001B0E29"/>
    <w:rsid w:val="00296C39"/>
    <w:rsid w:val="00501928"/>
    <w:rsid w:val="0052689B"/>
    <w:rsid w:val="00534C45"/>
    <w:rsid w:val="005612F8"/>
    <w:rsid w:val="00565FE3"/>
    <w:rsid w:val="00577AD1"/>
    <w:rsid w:val="005C40B8"/>
    <w:rsid w:val="00625832"/>
    <w:rsid w:val="00635AE4"/>
    <w:rsid w:val="006C5510"/>
    <w:rsid w:val="006F49FF"/>
    <w:rsid w:val="00701CA8"/>
    <w:rsid w:val="00777794"/>
    <w:rsid w:val="00784F7B"/>
    <w:rsid w:val="007D6267"/>
    <w:rsid w:val="007E0A0D"/>
    <w:rsid w:val="00840C59"/>
    <w:rsid w:val="00862B58"/>
    <w:rsid w:val="00875D7A"/>
    <w:rsid w:val="009F6D0E"/>
    <w:rsid w:val="00A4212B"/>
    <w:rsid w:val="00A43107"/>
    <w:rsid w:val="00A66655"/>
    <w:rsid w:val="00BE596D"/>
    <w:rsid w:val="00BF32A1"/>
    <w:rsid w:val="00C00878"/>
    <w:rsid w:val="00CA54B4"/>
    <w:rsid w:val="00D60CA5"/>
    <w:rsid w:val="00DA0B13"/>
    <w:rsid w:val="00DE762F"/>
    <w:rsid w:val="00E26E0C"/>
    <w:rsid w:val="00E62887"/>
    <w:rsid w:val="00EA0366"/>
    <w:rsid w:val="00FA5799"/>
    <w:rsid w:val="00FD1FD3"/>
    <w:rsid w:val="00FE6408"/>
    <w:rsid w:val="00FF2A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5D5A242"/>
  <w15:chartTrackingRefBased/>
  <w15:docId w15:val="{C36F5023-37F7-4044-83FE-9DA2F957E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54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CA54B4"/>
    <w:rPr>
      <w:rFonts w:eastAsiaTheme="minorEastAsia"/>
      <w:sz w:val="20"/>
      <w:szCs w:val="20"/>
      <w:lang w:val="en-GB"/>
    </w:rPr>
  </w:style>
  <w:style w:type="character" w:customStyle="1" w:styleId="EndnoteTextChar">
    <w:name w:val="Endnote Text Char"/>
    <w:basedOn w:val="DefaultParagraphFont"/>
    <w:link w:val="EndnoteText"/>
    <w:uiPriority w:val="99"/>
    <w:rsid w:val="00CA54B4"/>
    <w:rPr>
      <w:rFonts w:eastAsiaTheme="minorEastAsia"/>
      <w:sz w:val="20"/>
      <w:szCs w:val="20"/>
      <w:lang w:val="en-GB"/>
    </w:rPr>
  </w:style>
  <w:style w:type="character" w:styleId="EndnoteReference">
    <w:name w:val="endnote reference"/>
    <w:basedOn w:val="DefaultParagraphFont"/>
    <w:uiPriority w:val="99"/>
    <w:unhideWhenUsed/>
    <w:qFormat/>
    <w:rsid w:val="00CA54B4"/>
    <w:rPr>
      <w:rFonts w:ascii="Times New Roman" w:hAnsi="Times New Roman"/>
      <w:b w:val="0"/>
      <w:i w:val="0"/>
      <w:caps w:val="0"/>
      <w:smallCaps w:val="0"/>
      <w:strike w:val="0"/>
      <w:dstrike w:val="0"/>
      <w:vanish w:val="0"/>
      <w:color w:val="000000" w:themeColor="text1"/>
      <w:sz w:val="24"/>
      <w:u w:val="none"/>
      <w:vertAlign w:val="superscript"/>
    </w:rPr>
  </w:style>
  <w:style w:type="paragraph" w:styleId="Footer">
    <w:name w:val="footer"/>
    <w:basedOn w:val="Normal"/>
    <w:link w:val="FooterChar"/>
    <w:uiPriority w:val="99"/>
    <w:unhideWhenUsed/>
    <w:rsid w:val="00FA5799"/>
    <w:pPr>
      <w:tabs>
        <w:tab w:val="center" w:pos="4680"/>
        <w:tab w:val="right" w:pos="9360"/>
      </w:tabs>
    </w:pPr>
  </w:style>
  <w:style w:type="character" w:customStyle="1" w:styleId="FooterChar">
    <w:name w:val="Footer Char"/>
    <w:basedOn w:val="DefaultParagraphFont"/>
    <w:link w:val="Footer"/>
    <w:uiPriority w:val="99"/>
    <w:rsid w:val="00FA5799"/>
  </w:style>
  <w:style w:type="character" w:styleId="PageNumber">
    <w:name w:val="page number"/>
    <w:basedOn w:val="DefaultParagraphFont"/>
    <w:uiPriority w:val="99"/>
    <w:semiHidden/>
    <w:unhideWhenUsed/>
    <w:rsid w:val="00FA5799"/>
  </w:style>
  <w:style w:type="paragraph" w:styleId="Header">
    <w:name w:val="header"/>
    <w:basedOn w:val="Normal"/>
    <w:link w:val="HeaderChar"/>
    <w:uiPriority w:val="99"/>
    <w:unhideWhenUsed/>
    <w:rsid w:val="00FA5799"/>
    <w:pPr>
      <w:tabs>
        <w:tab w:val="center" w:pos="4680"/>
        <w:tab w:val="right" w:pos="9360"/>
      </w:tabs>
    </w:pPr>
  </w:style>
  <w:style w:type="character" w:customStyle="1" w:styleId="HeaderChar">
    <w:name w:val="Header Char"/>
    <w:basedOn w:val="DefaultParagraphFont"/>
    <w:link w:val="Header"/>
    <w:uiPriority w:val="99"/>
    <w:rsid w:val="00FA5799"/>
  </w:style>
  <w:style w:type="paragraph" w:styleId="BalloonText">
    <w:name w:val="Balloon Text"/>
    <w:basedOn w:val="Normal"/>
    <w:link w:val="BalloonTextChar"/>
    <w:uiPriority w:val="99"/>
    <w:semiHidden/>
    <w:unhideWhenUsed/>
    <w:rsid w:val="009F6D0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F6D0E"/>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00B56-2C64-7547-BB90-6DBA027B6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5500</Words>
  <Characters>28659</Characters>
  <Application>Microsoft Office Word</Application>
  <DocSecurity>0</DocSecurity>
  <Lines>511</Lines>
  <Paragraphs>182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 l. bourne</dc:creator>
  <cp:keywords/>
  <dc:description/>
  <cp:lastModifiedBy>Emma Depledge</cp:lastModifiedBy>
  <cp:revision>2</cp:revision>
  <dcterms:created xsi:type="dcterms:W3CDTF">2021-04-02T17:47:00Z</dcterms:created>
  <dcterms:modified xsi:type="dcterms:W3CDTF">2021-04-02T17:47:00Z</dcterms:modified>
</cp:coreProperties>
</file>